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Default="009D3B04" w:rsidP="00FE7FF8">
      <w:pPr>
        <w:pStyle w:val="Ttulo1"/>
        <w:rPr>
          <w:noProof/>
          <w:lang w:eastAsia="es-AR"/>
        </w:rPr>
      </w:pPr>
      <w:bookmarkStart w:id="0" w:name="_GoBack"/>
      <w:bookmarkEnd w:id="0"/>
      <w:r>
        <w:rPr>
          <w:noProof/>
          <w:lang w:eastAsia="es-AR"/>
        </w:rPr>
        <w:t>UNIDAD DE DESARROLLO CURRICULAR Y FORMACIÓN DOCENTE</w:t>
      </w:r>
    </w:p>
    <w:p w:rsidR="009D3B04" w:rsidRDefault="009D3B04" w:rsidP="009D3B04">
      <w:pPr>
        <w:jc w:val="center"/>
        <w:rPr>
          <w:rFonts w:ascii="Arial" w:hAnsi="Arial" w:cs="Arial"/>
          <w:b/>
          <w:noProof/>
          <w:color w:val="0F243E" w:themeColor="text2" w:themeShade="80"/>
          <w:sz w:val="28"/>
          <w:szCs w:val="28"/>
          <w:lang w:eastAsia="es-AR"/>
        </w:rPr>
      </w:pPr>
    </w:p>
    <w:p w:rsidR="009D3B04" w:rsidRPr="00B3659A" w:rsidRDefault="009D3B04" w:rsidP="009D3B04">
      <w:pPr>
        <w:jc w:val="center"/>
        <w:rPr>
          <w:rFonts w:ascii="Arial" w:hAnsi="Arial" w:cs="Arial"/>
          <w:b/>
          <w:noProof/>
          <w:color w:val="244061" w:themeColor="accent1" w:themeShade="80"/>
          <w:sz w:val="28"/>
          <w:szCs w:val="28"/>
          <w:lang w:eastAsia="es-AR"/>
        </w:rPr>
      </w:pPr>
      <w:r w:rsidRPr="00B3659A">
        <w:rPr>
          <w:rFonts w:ascii="Arial" w:hAnsi="Arial" w:cs="Arial"/>
          <w:b/>
          <w:noProof/>
          <w:color w:val="244061" w:themeColor="accent1" w:themeShade="80"/>
          <w:sz w:val="28"/>
          <w:szCs w:val="28"/>
          <w:lang w:eastAsia="es-AR"/>
        </w:rPr>
        <w:t>PLAN DE ASIGNATURA</w:t>
      </w:r>
    </w:p>
    <w:p w:rsidR="009D3B04" w:rsidRPr="0086312B" w:rsidRDefault="009D3B04" w:rsidP="009D3B04">
      <w:pPr>
        <w:rPr>
          <w:rFonts w:ascii="Arial" w:hAnsi="Arial" w:cs="Arial"/>
          <w:b/>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98"/>
        <w:gridCol w:w="1243"/>
        <w:gridCol w:w="1470"/>
        <w:gridCol w:w="280"/>
        <w:gridCol w:w="807"/>
        <w:gridCol w:w="2246"/>
      </w:tblGrid>
      <w:tr w:rsidR="009D3B04" w:rsidRPr="0086312B" w:rsidTr="00CC21F3">
        <w:tc>
          <w:tcPr>
            <w:tcW w:w="9606" w:type="dxa"/>
            <w:gridSpan w:val="7"/>
            <w:tcBorders>
              <w:bottom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A56481">
              <w:rPr>
                <w:rFonts w:ascii="Arial" w:hAnsi="Arial" w:cs="Arial"/>
                <w:b/>
                <w:color w:val="0F243E" w:themeColor="text2" w:themeShade="80"/>
              </w:rPr>
              <w:t>PROGRAMA:</w:t>
            </w:r>
            <w:r w:rsidR="00F83EE2">
              <w:rPr>
                <w:rFonts w:ascii="Arial" w:hAnsi="Arial" w:cs="Arial"/>
                <w:b/>
                <w:color w:val="0F243E" w:themeColor="text2" w:themeShade="80"/>
              </w:rPr>
              <w:t xml:space="preserve"> DERECHO</w:t>
            </w:r>
          </w:p>
          <w:p w:rsidR="009D3B04" w:rsidRPr="00A56481" w:rsidRDefault="009D3B04" w:rsidP="00CC21F3">
            <w:pPr>
              <w:rPr>
                <w:rFonts w:ascii="Arial" w:hAnsi="Arial" w:cs="Arial"/>
                <w:b/>
                <w:color w:val="0F243E" w:themeColor="text2" w:themeShade="80"/>
              </w:rPr>
            </w:pPr>
          </w:p>
        </w:tc>
      </w:tr>
      <w:tr w:rsidR="009D3B04" w:rsidRPr="0086312B" w:rsidTr="00CC21F3">
        <w:tc>
          <w:tcPr>
            <w:tcW w:w="9606" w:type="dxa"/>
            <w:gridSpan w:val="7"/>
            <w:tcBorders>
              <w:bottom w:val="single" w:sz="4" w:space="0" w:color="auto"/>
            </w:tcBorders>
            <w:shd w:val="clear" w:color="auto" w:fill="365F91" w:themeFill="accent1" w:themeFillShade="BF"/>
          </w:tcPr>
          <w:p w:rsidR="009D3B04" w:rsidRDefault="009D3B04" w:rsidP="00CC21F3">
            <w:pPr>
              <w:jc w:val="center"/>
              <w:rPr>
                <w:rFonts w:ascii="Arial" w:hAnsi="Arial" w:cs="Arial"/>
                <w:b/>
                <w:color w:val="0F243E" w:themeColor="text2" w:themeShade="80"/>
              </w:rPr>
            </w:pPr>
          </w:p>
          <w:p w:rsidR="009D3B04" w:rsidRPr="00C32202" w:rsidRDefault="009D3B04" w:rsidP="00CC21F3">
            <w:pPr>
              <w:jc w:val="center"/>
              <w:rPr>
                <w:rFonts w:ascii="Arial" w:hAnsi="Arial" w:cs="Arial"/>
                <w:b/>
                <w:color w:val="FFFFFF" w:themeColor="background1"/>
              </w:rPr>
            </w:pPr>
            <w:r w:rsidRPr="00C32202">
              <w:rPr>
                <w:rFonts w:ascii="Arial" w:hAnsi="Arial" w:cs="Arial"/>
                <w:b/>
                <w:color w:val="FFFFFF" w:themeColor="background1"/>
              </w:rPr>
              <w:t>DATOS GENERALES</w:t>
            </w:r>
          </w:p>
          <w:p w:rsidR="009D3B04" w:rsidRPr="00A56481" w:rsidRDefault="009D3B04" w:rsidP="00CC21F3">
            <w:pPr>
              <w:rPr>
                <w:rFonts w:ascii="Arial" w:hAnsi="Arial" w:cs="Arial"/>
                <w:b/>
                <w:color w:val="0F243E" w:themeColor="text2" w:themeShade="80"/>
              </w:rPr>
            </w:pPr>
          </w:p>
        </w:tc>
      </w:tr>
      <w:tr w:rsidR="009D3B04" w:rsidRPr="0086312B" w:rsidTr="00CC21F3">
        <w:tc>
          <w:tcPr>
            <w:tcW w:w="3105" w:type="dxa"/>
            <w:gridSpan w:val="2"/>
            <w:tcBorders>
              <w:top w:val="single" w:sz="4" w:space="0" w:color="auto"/>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COMPONENTE:</w:t>
            </w:r>
            <w:r w:rsidR="00AD3DAF">
              <w:rPr>
                <w:rFonts w:ascii="Arial" w:hAnsi="Arial" w:cs="Arial"/>
                <w:color w:val="0F243E" w:themeColor="text2" w:themeShade="80"/>
              </w:rPr>
              <w:t xml:space="preserve"> DERECHO PROCESAL</w:t>
            </w: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CAMPO:</w:t>
            </w:r>
          </w:p>
        </w:tc>
        <w:tc>
          <w:tcPr>
            <w:tcW w:w="3135" w:type="dxa"/>
            <w:gridSpan w:val="3"/>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2D3F0D">
              <w:rPr>
                <w:rFonts w:ascii="Arial" w:hAnsi="Arial" w:cs="Arial"/>
                <w:color w:val="0F243E" w:themeColor="text2" w:themeShade="80"/>
              </w:rPr>
              <w:t>ÁREA/MÓDULO</w:t>
            </w:r>
          </w:p>
          <w:p w:rsidR="00AD3DAF" w:rsidRPr="002D3F0D" w:rsidRDefault="00AD3DAF" w:rsidP="00CC21F3">
            <w:pPr>
              <w:rPr>
                <w:rFonts w:ascii="Arial" w:hAnsi="Arial" w:cs="Arial"/>
                <w:color w:val="0F243E" w:themeColor="text2" w:themeShade="80"/>
              </w:rPr>
            </w:pPr>
            <w:r>
              <w:rPr>
                <w:rFonts w:ascii="Arial" w:hAnsi="Arial" w:cs="Arial"/>
                <w:color w:val="0F243E" w:themeColor="text2" w:themeShade="80"/>
              </w:rPr>
              <w:t>DERECHO PRIVADO</w:t>
            </w:r>
          </w:p>
        </w:tc>
        <w:tc>
          <w:tcPr>
            <w:tcW w:w="3366" w:type="dxa"/>
            <w:gridSpan w:val="2"/>
            <w:tcBorders>
              <w:top w:val="single" w:sz="4" w:space="0" w:color="auto"/>
              <w:left w:val="single" w:sz="4" w:space="0" w:color="auto"/>
            </w:tcBorders>
          </w:tcPr>
          <w:p w:rsidR="009D3B04" w:rsidRDefault="009D3B04" w:rsidP="00CC21F3">
            <w:pPr>
              <w:rPr>
                <w:rFonts w:ascii="Arial" w:hAnsi="Arial" w:cs="Arial"/>
                <w:color w:val="0F243E" w:themeColor="text2" w:themeShade="80"/>
              </w:rPr>
            </w:pPr>
            <w:r w:rsidRPr="00C53FE2">
              <w:rPr>
                <w:rFonts w:ascii="Arial" w:hAnsi="Arial" w:cs="Arial"/>
                <w:color w:val="0F243E" w:themeColor="text2" w:themeShade="80"/>
              </w:rPr>
              <w:t>SEMESTRE</w:t>
            </w:r>
            <w:r w:rsidR="00FE7FF8">
              <w:rPr>
                <w:rFonts w:ascii="Arial" w:hAnsi="Arial" w:cs="Arial"/>
                <w:color w:val="0F243E" w:themeColor="text2" w:themeShade="80"/>
              </w:rPr>
              <w:t xml:space="preserve"> </w:t>
            </w:r>
          </w:p>
          <w:p w:rsidR="00AD3DAF" w:rsidRDefault="00AD3DAF" w:rsidP="00CC21F3">
            <w:pPr>
              <w:rPr>
                <w:rFonts w:ascii="Arial" w:hAnsi="Arial" w:cs="Arial"/>
                <w:color w:val="0F243E" w:themeColor="text2" w:themeShade="80"/>
              </w:rPr>
            </w:pPr>
          </w:p>
          <w:p w:rsidR="00AD3DAF" w:rsidRPr="00C53FE2" w:rsidRDefault="00AD3DAF" w:rsidP="00CC21F3">
            <w:pPr>
              <w:rPr>
                <w:rFonts w:ascii="Arial" w:hAnsi="Arial" w:cs="Arial"/>
                <w:color w:val="0F243E" w:themeColor="text2" w:themeShade="80"/>
              </w:rPr>
            </w:pPr>
            <w:r>
              <w:rPr>
                <w:rFonts w:ascii="Arial" w:hAnsi="Arial" w:cs="Arial"/>
                <w:color w:val="0F243E" w:themeColor="text2" w:themeShade="80"/>
              </w:rPr>
              <w:t>QUINTO SEMESTRE</w:t>
            </w:r>
          </w:p>
        </w:tc>
      </w:tr>
      <w:tr w:rsidR="009D3B04" w:rsidRPr="0086312B" w:rsidTr="00CC21F3">
        <w:tc>
          <w:tcPr>
            <w:tcW w:w="9606" w:type="dxa"/>
            <w:gridSpan w:val="7"/>
          </w:tcPr>
          <w:p w:rsidR="009D3B04" w:rsidRDefault="009D3B04" w:rsidP="00CC21F3">
            <w:pPr>
              <w:rPr>
                <w:rFonts w:ascii="Arial" w:hAnsi="Arial" w:cs="Arial"/>
                <w:b/>
                <w:color w:val="0F243E" w:themeColor="text2" w:themeShade="80"/>
              </w:rPr>
            </w:pPr>
          </w:p>
          <w:p w:rsidR="00AD3DAF" w:rsidRDefault="009D3B04" w:rsidP="00CC21F3">
            <w:pPr>
              <w:rPr>
                <w:rFonts w:ascii="Arial" w:hAnsi="Arial" w:cs="Arial"/>
                <w:b/>
                <w:color w:val="0F243E" w:themeColor="text2" w:themeShade="80"/>
              </w:rPr>
            </w:pPr>
            <w:r w:rsidRPr="00F660FA">
              <w:rPr>
                <w:rFonts w:ascii="Arial" w:hAnsi="Arial" w:cs="Arial"/>
                <w:b/>
                <w:color w:val="0F243E" w:themeColor="text2" w:themeShade="80"/>
              </w:rPr>
              <w:t xml:space="preserve">ASIGNATURA/MÓDULO/SEMINARIO:  </w:t>
            </w:r>
          </w:p>
          <w:p w:rsidR="00AD3DAF" w:rsidRDefault="00AD3DAF" w:rsidP="00CC21F3">
            <w:pPr>
              <w:rPr>
                <w:rFonts w:ascii="Arial" w:hAnsi="Arial" w:cs="Arial"/>
                <w:b/>
                <w:color w:val="0F243E" w:themeColor="text2" w:themeShade="80"/>
              </w:rPr>
            </w:pPr>
          </w:p>
          <w:p w:rsidR="009D3B04" w:rsidRDefault="00AD3DAF" w:rsidP="00CC21F3">
            <w:pPr>
              <w:rPr>
                <w:rFonts w:ascii="Arial" w:hAnsi="Arial" w:cs="Arial"/>
                <w:b/>
                <w:color w:val="0F243E" w:themeColor="text2" w:themeShade="80"/>
              </w:rPr>
            </w:pPr>
            <w:r>
              <w:rPr>
                <w:rFonts w:ascii="Arial" w:hAnsi="Arial" w:cs="Arial"/>
                <w:b/>
                <w:color w:val="0F243E" w:themeColor="text2" w:themeShade="80"/>
              </w:rPr>
              <w:t>DERECHO PROCESAL CIVIL ESPECIAL</w:t>
            </w:r>
          </w:p>
          <w:p w:rsidR="009D3B04" w:rsidRPr="00A56481" w:rsidRDefault="009D3B04" w:rsidP="00CC21F3">
            <w:pPr>
              <w:rPr>
                <w:rFonts w:ascii="Arial" w:hAnsi="Arial" w:cs="Arial"/>
                <w:b/>
                <w:color w:val="0F243E" w:themeColor="text2" w:themeShade="80"/>
              </w:rPr>
            </w:pPr>
          </w:p>
        </w:tc>
      </w:tr>
      <w:tr w:rsidR="009D3B04" w:rsidRPr="0086312B" w:rsidTr="00CC21F3">
        <w:tc>
          <w:tcPr>
            <w:tcW w:w="5955" w:type="dxa"/>
            <w:gridSpan w:val="4"/>
            <w:tcBorders>
              <w:righ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r w:rsidRPr="00F660FA">
              <w:rPr>
                <w:rFonts w:ascii="Arial" w:hAnsi="Arial" w:cs="Arial"/>
                <w:b/>
                <w:color w:val="0F243E" w:themeColor="text2" w:themeShade="80"/>
              </w:rPr>
              <w:t>ACTA DE APROBACIÓN DEL PLAN DE ASIGNATURA:</w:t>
            </w:r>
          </w:p>
          <w:p w:rsidR="009D3B04" w:rsidRPr="0086312B" w:rsidRDefault="009D3B04" w:rsidP="00CC21F3">
            <w:pPr>
              <w:rPr>
                <w:rFonts w:ascii="Arial" w:hAnsi="Arial" w:cs="Arial"/>
                <w:b/>
                <w:color w:val="0F243E" w:themeColor="text2" w:themeShade="80"/>
              </w:rPr>
            </w:pPr>
          </w:p>
        </w:tc>
        <w:tc>
          <w:tcPr>
            <w:tcW w:w="3651" w:type="dxa"/>
            <w:gridSpan w:val="3"/>
            <w:tcBorders>
              <w:left w:val="single" w:sz="4" w:space="0" w:color="auto"/>
            </w:tcBorders>
          </w:tcPr>
          <w:p w:rsidR="009D3B04" w:rsidRDefault="009D3B04" w:rsidP="00CC21F3">
            <w:pPr>
              <w:rPr>
                <w:rFonts w:ascii="Arial" w:hAnsi="Arial" w:cs="Arial"/>
                <w:b/>
                <w:color w:val="0F243E" w:themeColor="text2" w:themeShade="80"/>
              </w:rPr>
            </w:pPr>
          </w:p>
          <w:p w:rsidR="009D3B04" w:rsidRDefault="009D3B04" w:rsidP="00CC21F3">
            <w:pPr>
              <w:rPr>
                <w:rFonts w:ascii="Arial" w:hAnsi="Arial" w:cs="Arial"/>
                <w:b/>
                <w:color w:val="0F243E" w:themeColor="text2" w:themeShade="80"/>
              </w:rPr>
            </w:pPr>
          </w:p>
          <w:p w:rsidR="009D3B04" w:rsidRPr="0086312B" w:rsidRDefault="009D3B04" w:rsidP="00CC21F3">
            <w:pPr>
              <w:rPr>
                <w:rFonts w:ascii="Arial" w:hAnsi="Arial" w:cs="Arial"/>
                <w:b/>
                <w:color w:val="0F243E" w:themeColor="text2" w:themeShade="80"/>
              </w:rPr>
            </w:pPr>
          </w:p>
        </w:tc>
      </w:tr>
      <w:tr w:rsidR="009D3B04" w:rsidRPr="0086312B" w:rsidTr="00CC21F3">
        <w:tc>
          <w:tcPr>
            <w:tcW w:w="1650" w:type="dxa"/>
            <w:tcBorders>
              <w:righ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MODALIDAD:</w:t>
            </w:r>
          </w:p>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w:t>
            </w:r>
          </w:p>
        </w:tc>
        <w:tc>
          <w:tcPr>
            <w:tcW w:w="2711" w:type="dxa"/>
            <w:gridSpan w:val="2"/>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PRESENCIAL   </w:t>
            </w:r>
            <w:r w:rsidR="00AD3DAF">
              <w:rPr>
                <w:rFonts w:ascii="Arial" w:hAnsi="Arial" w:cs="Arial"/>
                <w:color w:val="0F243E" w:themeColor="text2" w:themeShade="80"/>
              </w:rPr>
              <w:t>x</w:t>
            </w:r>
          </w:p>
        </w:tc>
        <w:tc>
          <w:tcPr>
            <w:tcW w:w="2835" w:type="dxa"/>
            <w:gridSpan w:val="3"/>
            <w:tcBorders>
              <w:left w:val="single" w:sz="4" w:space="0" w:color="auto"/>
            </w:tcBorders>
          </w:tcPr>
          <w:p w:rsidR="009D3B04" w:rsidRPr="002D3F0D" w:rsidRDefault="009D3B04" w:rsidP="00FE7FF8">
            <w:pPr>
              <w:rPr>
                <w:rFonts w:ascii="Arial" w:hAnsi="Arial" w:cs="Arial"/>
                <w:color w:val="0F243E" w:themeColor="text2" w:themeShade="80"/>
              </w:rPr>
            </w:pPr>
            <w:r w:rsidRPr="002D3F0D">
              <w:rPr>
                <w:rFonts w:ascii="Arial" w:hAnsi="Arial" w:cs="Arial"/>
                <w:color w:val="0F243E" w:themeColor="text2" w:themeShade="80"/>
              </w:rPr>
              <w:t xml:space="preserve">VIRTUAL </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c>
          <w:tcPr>
            <w:tcW w:w="2410" w:type="dxa"/>
            <w:tcBorders>
              <w:left w:val="single" w:sz="4" w:space="0" w:color="auto"/>
            </w:tcBorders>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BIMODAL</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4257"/>
        <w:gridCol w:w="907"/>
        <w:gridCol w:w="3890"/>
      </w:tblGrid>
      <w:tr w:rsidR="009D3B04" w:rsidRPr="0086312B" w:rsidTr="00CC21F3">
        <w:tc>
          <w:tcPr>
            <w:tcW w:w="5495" w:type="dxa"/>
            <w:gridSpan w:val="2"/>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CÓDIGO ASIGNATURA:</w:t>
            </w:r>
          </w:p>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 </w:t>
            </w:r>
          </w:p>
        </w:tc>
        <w:tc>
          <w:tcPr>
            <w:tcW w:w="4111" w:type="dxa"/>
          </w:tcPr>
          <w:p w:rsidR="009D3B04" w:rsidRPr="0086312B" w:rsidRDefault="009D3B04" w:rsidP="00CC21F3">
            <w:pPr>
              <w:rPr>
                <w:rFonts w:ascii="Arial" w:hAnsi="Arial" w:cs="Arial"/>
                <w:b/>
                <w:color w:val="0F243E" w:themeColor="text2" w:themeShade="80"/>
              </w:rPr>
            </w:pPr>
            <w:r>
              <w:rPr>
                <w:rFonts w:ascii="Arial" w:hAnsi="Arial" w:cs="Arial"/>
                <w:b/>
                <w:color w:val="0F243E" w:themeColor="text2" w:themeShade="80"/>
              </w:rPr>
              <w:t xml:space="preserve">N° </w:t>
            </w:r>
            <w:r w:rsidRPr="0086312B">
              <w:rPr>
                <w:rFonts w:ascii="Arial" w:hAnsi="Arial" w:cs="Arial"/>
                <w:b/>
                <w:color w:val="0F243E" w:themeColor="text2" w:themeShade="80"/>
              </w:rPr>
              <w:t xml:space="preserve">CRÉDITOS:  </w:t>
            </w:r>
          </w:p>
        </w:tc>
      </w:tr>
      <w:tr w:rsidR="009D3B04" w:rsidRPr="0086312B" w:rsidTr="00CC21F3">
        <w:tc>
          <w:tcPr>
            <w:tcW w:w="4503" w:type="dxa"/>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Elaboración:</w:t>
            </w:r>
          </w:p>
          <w:p w:rsidR="009D3B04" w:rsidRDefault="009D3B04" w:rsidP="00CC21F3">
            <w:pPr>
              <w:rPr>
                <w:rFonts w:ascii="Arial" w:hAnsi="Arial" w:cs="Arial"/>
                <w:b/>
                <w:color w:val="0F243E" w:themeColor="text2" w:themeShade="80"/>
              </w:rPr>
            </w:pPr>
          </w:p>
          <w:p w:rsidR="009D3B04" w:rsidRPr="00AD3DAF" w:rsidRDefault="00AD3DAF" w:rsidP="00CC21F3">
            <w:pPr>
              <w:rPr>
                <w:rFonts w:ascii="Arial" w:hAnsi="Arial" w:cs="Arial"/>
                <w:color w:val="0F243E" w:themeColor="text2" w:themeShade="80"/>
              </w:rPr>
            </w:pPr>
            <w:r>
              <w:rPr>
                <w:rFonts w:ascii="Arial" w:hAnsi="Arial" w:cs="Arial"/>
                <w:color w:val="0F243E" w:themeColor="text2" w:themeShade="80"/>
              </w:rPr>
              <w:t>4 de Noviembre de 2015</w:t>
            </w:r>
          </w:p>
          <w:p w:rsidR="009D3B04" w:rsidRDefault="009D3B04" w:rsidP="00CC21F3">
            <w:pPr>
              <w:rPr>
                <w:rFonts w:ascii="Arial" w:hAnsi="Arial" w:cs="Arial"/>
                <w:b/>
                <w:color w:val="0F243E" w:themeColor="text2" w:themeShade="80"/>
              </w:rPr>
            </w:pPr>
          </w:p>
        </w:tc>
        <w:tc>
          <w:tcPr>
            <w:tcW w:w="5103" w:type="dxa"/>
            <w:gridSpan w:val="2"/>
            <w:tcBorders>
              <w:left w:val="single" w:sz="4" w:space="0" w:color="auto"/>
            </w:tcBorders>
          </w:tcPr>
          <w:p w:rsidR="009D3B04" w:rsidRDefault="009D3B04" w:rsidP="00CC21F3">
            <w:pPr>
              <w:rPr>
                <w:rFonts w:ascii="Arial" w:hAnsi="Arial" w:cs="Arial"/>
                <w:b/>
                <w:color w:val="0F243E" w:themeColor="text2" w:themeShade="80"/>
              </w:rPr>
            </w:pPr>
            <w:r>
              <w:rPr>
                <w:rFonts w:ascii="Arial" w:hAnsi="Arial" w:cs="Arial"/>
                <w:b/>
                <w:color w:val="0F243E" w:themeColor="text2" w:themeShade="80"/>
              </w:rPr>
              <w:t>Fecha de Actualización:</w:t>
            </w:r>
          </w:p>
          <w:p w:rsidR="009D3B04" w:rsidRDefault="009D3B04" w:rsidP="00CC21F3">
            <w:pPr>
              <w:rPr>
                <w:rFonts w:ascii="Arial" w:hAnsi="Arial" w:cs="Arial"/>
                <w:b/>
                <w:color w:val="0F243E" w:themeColor="text2" w:themeShade="80"/>
              </w:rPr>
            </w:pPr>
          </w:p>
          <w:p w:rsidR="00AD3DAF" w:rsidRDefault="00AD3DAF" w:rsidP="00CC21F3">
            <w:pPr>
              <w:rPr>
                <w:rFonts w:ascii="Arial" w:hAnsi="Arial" w:cs="Arial"/>
                <w:b/>
                <w:color w:val="0F243E" w:themeColor="text2" w:themeShade="80"/>
              </w:rPr>
            </w:pPr>
            <w:r>
              <w:rPr>
                <w:rFonts w:ascii="Arial" w:hAnsi="Arial" w:cs="Arial"/>
                <w:b/>
                <w:color w:val="0F243E" w:themeColor="text2" w:themeShade="80"/>
              </w:rPr>
              <w:t>10 de Noviembre de 2015</w:t>
            </w:r>
          </w:p>
        </w:tc>
      </w:tr>
    </w:tbl>
    <w:p w:rsidR="009D3B04" w:rsidRPr="0086312B" w:rsidRDefault="009D3B04" w:rsidP="009D3B04">
      <w:pPr>
        <w:rPr>
          <w:rFonts w:ascii="Arial" w:hAnsi="Arial" w:cs="Arial"/>
          <w:color w:val="0F243E" w:themeColor="text2" w:themeShade="8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16"/>
        <w:gridCol w:w="2658"/>
        <w:gridCol w:w="3580"/>
      </w:tblGrid>
      <w:tr w:rsidR="009D3B04" w:rsidRPr="0086312B" w:rsidTr="00CC21F3">
        <w:tc>
          <w:tcPr>
            <w:tcW w:w="9606" w:type="dxa"/>
            <w:gridSpan w:val="3"/>
            <w:shd w:val="clear" w:color="auto" w:fill="365F91" w:themeFill="accent1" w:themeFillShade="BF"/>
          </w:tcPr>
          <w:p w:rsidR="009D3B04" w:rsidRPr="0086312B"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TIEMPO DE ACOMPAÑAMIENTO DOCENTE</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 Horas Semana:</w:t>
            </w:r>
            <w:r w:rsidR="00AD3DAF">
              <w:rPr>
                <w:rFonts w:ascii="Arial" w:hAnsi="Arial" w:cs="Arial"/>
                <w:color w:val="0F243E" w:themeColor="text2" w:themeShade="80"/>
              </w:rPr>
              <w:t xml:space="preserve"> 2</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Mes:</w:t>
            </w:r>
            <w:r w:rsidR="00AD3DAF">
              <w:rPr>
                <w:rFonts w:ascii="Arial" w:hAnsi="Arial" w:cs="Arial"/>
                <w:color w:val="0F243E" w:themeColor="text2" w:themeShade="80"/>
              </w:rPr>
              <w:t xml:space="preserve"> 8</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Horas Práctica:</w:t>
            </w:r>
            <w:r w:rsidR="00AD3DAF">
              <w:rPr>
                <w:rFonts w:ascii="Arial" w:hAnsi="Arial" w:cs="Arial"/>
                <w:color w:val="0F243E" w:themeColor="text2" w:themeShade="80"/>
              </w:rPr>
              <w:t xml:space="preserve"> 4</w:t>
            </w:r>
          </w:p>
        </w:tc>
      </w:tr>
      <w:tr w:rsidR="009D3B04" w:rsidRPr="002D3F0D" w:rsidTr="00CC21F3">
        <w:tc>
          <w:tcPr>
            <w:tcW w:w="2943"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Presenciales:  </w:t>
            </w:r>
            <w:r w:rsidR="00AD3DAF">
              <w:rPr>
                <w:rFonts w:ascii="Arial" w:hAnsi="Arial" w:cs="Arial"/>
                <w:color w:val="0F243E" w:themeColor="text2" w:themeShade="80"/>
              </w:rPr>
              <w:t>2</w:t>
            </w:r>
            <w:r w:rsidRPr="002D3F0D">
              <w:rPr>
                <w:rFonts w:ascii="Arial" w:hAnsi="Arial" w:cs="Arial"/>
                <w:color w:val="0F243E" w:themeColor="text2" w:themeShade="80"/>
              </w:rPr>
              <w:t xml:space="preserve"> </w:t>
            </w:r>
          </w:p>
        </w:tc>
        <w:tc>
          <w:tcPr>
            <w:tcW w:w="2835"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H. Tutoría:  </w:t>
            </w:r>
            <w:r w:rsidR="00AD3DAF">
              <w:rPr>
                <w:rFonts w:ascii="Arial" w:hAnsi="Arial" w:cs="Arial"/>
                <w:color w:val="0F243E" w:themeColor="text2" w:themeShade="80"/>
              </w:rPr>
              <w:t>2</w:t>
            </w:r>
          </w:p>
        </w:tc>
        <w:tc>
          <w:tcPr>
            <w:tcW w:w="3828" w:type="dxa"/>
          </w:tcPr>
          <w:p w:rsidR="009D3B04" w:rsidRPr="002D3F0D" w:rsidRDefault="009D3B04" w:rsidP="00CC21F3">
            <w:pPr>
              <w:rPr>
                <w:rFonts w:ascii="Arial" w:hAnsi="Arial" w:cs="Arial"/>
                <w:color w:val="0F243E" w:themeColor="text2" w:themeShade="80"/>
              </w:rPr>
            </w:pPr>
            <w:r w:rsidRPr="002D3F0D">
              <w:rPr>
                <w:rFonts w:ascii="Arial" w:hAnsi="Arial" w:cs="Arial"/>
                <w:color w:val="0F243E" w:themeColor="text2" w:themeShade="80"/>
              </w:rPr>
              <w:t xml:space="preserve">Total Horas Semestre: </w:t>
            </w:r>
          </w:p>
        </w:tc>
      </w:tr>
    </w:tbl>
    <w:p w:rsidR="009D3B04" w:rsidRPr="002D3F0D"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2894"/>
        <w:gridCol w:w="2677"/>
        <w:gridCol w:w="394"/>
        <w:gridCol w:w="3089"/>
      </w:tblGrid>
      <w:tr w:rsidR="009D3B04" w:rsidTr="00CC21F3">
        <w:tc>
          <w:tcPr>
            <w:tcW w:w="9606" w:type="dxa"/>
            <w:gridSpan w:val="4"/>
            <w:shd w:val="clear" w:color="auto" w:fill="365F91" w:themeFill="accent1" w:themeFillShade="BF"/>
          </w:tcPr>
          <w:p w:rsidR="009D3B04" w:rsidRPr="002D3F0D" w:rsidRDefault="009D3B04" w:rsidP="00CC21F3">
            <w:pPr>
              <w:jc w:val="center"/>
              <w:rPr>
                <w:rFonts w:ascii="Arial" w:hAnsi="Arial" w:cs="Arial"/>
                <w:b/>
                <w:color w:val="0F243E" w:themeColor="text2" w:themeShade="80"/>
              </w:rPr>
            </w:pPr>
            <w:r w:rsidRPr="002D3F0D">
              <w:rPr>
                <w:rFonts w:ascii="Arial" w:hAnsi="Arial" w:cs="Arial"/>
                <w:b/>
                <w:color w:val="FFFFFF" w:themeColor="background1"/>
              </w:rPr>
              <w:t xml:space="preserve">TIEMPO DE TRABAJO INDEPENDIENTE DEL ESTUDIANTE </w:t>
            </w:r>
          </w:p>
        </w:tc>
      </w:tr>
      <w:tr w:rsidR="009D3B04" w:rsidTr="00CC21F3">
        <w:tc>
          <w:tcPr>
            <w:tcW w:w="3060" w:type="dxa"/>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Semana:</w:t>
            </w:r>
          </w:p>
        </w:tc>
        <w:tc>
          <w:tcPr>
            <w:tcW w:w="3285"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Mes:</w:t>
            </w:r>
          </w:p>
        </w:tc>
        <w:tc>
          <w:tcPr>
            <w:tcW w:w="3261" w:type="dxa"/>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Horas Semestre:</w:t>
            </w:r>
          </w:p>
        </w:tc>
      </w:tr>
      <w:tr w:rsidR="009D3B04" w:rsidTr="00CC21F3">
        <w:tc>
          <w:tcPr>
            <w:tcW w:w="5920" w:type="dxa"/>
            <w:gridSpan w:val="2"/>
            <w:tcBorders>
              <w:righ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lastRenderedPageBreak/>
              <w:t>Total de Tiempo de Trabajo Académico</w:t>
            </w:r>
          </w:p>
        </w:tc>
        <w:tc>
          <w:tcPr>
            <w:tcW w:w="3686" w:type="dxa"/>
            <w:gridSpan w:val="2"/>
            <w:tcBorders>
              <w:left w:val="sing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 de Semanas</w:t>
            </w: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1358"/>
        <w:gridCol w:w="3462"/>
        <w:gridCol w:w="4234"/>
      </w:tblGrid>
      <w:tr w:rsidR="009D3B04" w:rsidTr="00CC21F3">
        <w:tc>
          <w:tcPr>
            <w:tcW w:w="1384" w:type="dxa"/>
            <w:tcBorders>
              <w:righ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Jornada</w:t>
            </w:r>
          </w:p>
        </w:tc>
        <w:tc>
          <w:tcPr>
            <w:tcW w:w="370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Diurna</w:t>
            </w:r>
            <w:r w:rsidR="00FE7FF8">
              <w:rPr>
                <w:rFonts w:ascii="Arial" w:hAnsi="Arial" w:cs="Arial"/>
                <w:color w:val="0F243E" w:themeColor="text2" w:themeShade="80"/>
              </w:rPr>
              <w:t xml:space="preserve">       </w:t>
            </w:r>
            <w:r w:rsidR="00AD3DAF">
              <w:rPr>
                <w:rFonts w:ascii="Arial" w:hAnsi="Arial" w:cs="Arial"/>
                <w:color w:val="0F243E" w:themeColor="text2" w:themeShade="80"/>
              </w:rPr>
              <w:t>X</w:t>
            </w:r>
          </w:p>
        </w:tc>
        <w:tc>
          <w:tcPr>
            <w:tcW w:w="4521" w:type="dxa"/>
            <w:tcBorders>
              <w:left w:val="double" w:sz="4" w:space="0" w:color="auto"/>
            </w:tcBorders>
          </w:tcPr>
          <w:p w:rsidR="009D3B04" w:rsidRDefault="009D3B04" w:rsidP="00CC21F3">
            <w:pPr>
              <w:rPr>
                <w:rFonts w:ascii="Arial" w:hAnsi="Arial" w:cs="Arial"/>
                <w:color w:val="0F243E" w:themeColor="text2" w:themeShade="80"/>
              </w:rPr>
            </w:pPr>
            <w:r>
              <w:rPr>
                <w:rFonts w:ascii="Arial" w:hAnsi="Arial" w:cs="Arial"/>
                <w:color w:val="0F243E" w:themeColor="text2" w:themeShade="80"/>
              </w:rPr>
              <w:t>Nocturna</w:t>
            </w:r>
            <w:r w:rsidR="00FE7FF8">
              <w:rPr>
                <w:rFonts w:ascii="Arial" w:hAnsi="Arial" w:cs="Arial"/>
                <w:color w:val="0F243E" w:themeColor="text2" w:themeShade="80"/>
              </w:rPr>
              <w:t xml:space="preserve">      </w:t>
            </w:r>
            <w:r w:rsidR="00FE7FF8">
              <w:rPr>
                <w:rFonts w:ascii="Arial" w:hAnsi="Arial" w:cs="Arial"/>
                <w:color w:val="0F243E" w:themeColor="text2" w:themeShade="80"/>
              </w:rPr>
              <w:sym w:font="Wingdings" w:char="F06F"/>
            </w:r>
          </w:p>
        </w:tc>
      </w:tr>
    </w:tbl>
    <w:p w:rsidR="009D3B04" w:rsidRDefault="009D3B04" w:rsidP="009D3B04">
      <w:pPr>
        <w:rPr>
          <w:rFonts w:ascii="Arial" w:hAnsi="Arial" w:cs="Arial"/>
          <w:color w:val="0F243E" w:themeColor="text2" w:themeShade="80"/>
        </w:rPr>
      </w:pPr>
    </w:p>
    <w:p w:rsidR="009D3B04" w:rsidRPr="0086312B" w:rsidRDefault="009D3B04" w:rsidP="009D3B04">
      <w:pPr>
        <w:rPr>
          <w:rFonts w:ascii="Arial" w:hAnsi="Arial" w:cs="Arial"/>
          <w:color w:val="0F243E" w:themeColor="text2" w:themeShade="80"/>
        </w:rPr>
      </w:pPr>
    </w:p>
    <w:p w:rsidR="009D3B04" w:rsidRPr="0086312B" w:rsidRDefault="009D3B04" w:rsidP="009D3B04">
      <w:pPr>
        <w:rPr>
          <w:rFonts w:ascii="Arial" w:hAnsi="Arial" w:cs="Arial"/>
          <w:b/>
          <w:i/>
          <w:color w:val="0F243E" w:themeColor="text2" w:themeShade="80"/>
        </w:rPr>
      </w:pPr>
    </w:p>
    <w:p w:rsidR="009D3B04" w:rsidRPr="0086312B"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9D3B04">
        <w:tc>
          <w:tcPr>
            <w:tcW w:w="9054" w:type="dxa"/>
            <w:shd w:val="clear" w:color="auto" w:fill="365F91" w:themeFill="accent1" w:themeFillShade="BF"/>
          </w:tcPr>
          <w:p w:rsidR="009D3B04" w:rsidRPr="008618E3" w:rsidRDefault="009D3B04" w:rsidP="00CC21F3">
            <w:pPr>
              <w:rPr>
                <w:rFonts w:ascii="Arial" w:hAnsi="Arial" w:cs="Arial"/>
                <w:b/>
                <w:color w:val="0F243E" w:themeColor="text2" w:themeShade="80"/>
              </w:rPr>
            </w:pPr>
            <w:r w:rsidRPr="00C02EC4">
              <w:rPr>
                <w:rFonts w:ascii="Arial" w:hAnsi="Arial" w:cs="Arial"/>
                <w:b/>
                <w:color w:val="FFFFFF" w:themeColor="background1"/>
              </w:rPr>
              <w:t>JUSTIFICACIÓN:</w:t>
            </w:r>
          </w:p>
        </w:tc>
      </w:tr>
      <w:tr w:rsidR="009D3B04" w:rsidTr="009D3B04">
        <w:tc>
          <w:tcPr>
            <w:tcW w:w="9054" w:type="dxa"/>
          </w:tcPr>
          <w:p w:rsidR="009D3B04" w:rsidRDefault="003A6B8F" w:rsidP="00D94B90">
            <w:pPr>
              <w:jc w:val="both"/>
              <w:rPr>
                <w:rFonts w:ascii="Arial" w:hAnsi="Arial" w:cs="Arial"/>
                <w:color w:val="0F243E" w:themeColor="text2" w:themeShade="80"/>
              </w:rPr>
            </w:pPr>
            <w:r>
              <w:rPr>
                <w:rFonts w:ascii="Arial" w:hAnsi="Arial" w:cs="Arial"/>
                <w:color w:val="0F243E" w:themeColor="text2" w:themeShade="80"/>
              </w:rPr>
              <w:t xml:space="preserve">Esta asignatura se establece en la más específica </w:t>
            </w:r>
            <w:r w:rsidR="00D94B90">
              <w:rPr>
                <w:rFonts w:ascii="Arial" w:hAnsi="Arial" w:cs="Arial"/>
                <w:color w:val="0F243E" w:themeColor="text2" w:themeShade="80"/>
              </w:rPr>
              <w:t xml:space="preserve">de las asignaturas en derecho procesal civil, ello en la medida que como materia de cierre tiene como propósito estudiar los distintos procesos en particular, máxime en la actualidad cuando la comunidad jurídica asiste a al tránsito de un proceso por décadas esencialmente escritural a otro basado en la oralidad a partir de la observancia de la inmediación y la concentración. </w:t>
            </w:r>
          </w:p>
          <w:p w:rsidR="00D94B90" w:rsidRDefault="00D94B90" w:rsidP="00D94B90">
            <w:pPr>
              <w:jc w:val="both"/>
              <w:rPr>
                <w:rFonts w:ascii="Arial" w:hAnsi="Arial" w:cs="Arial"/>
                <w:color w:val="0F243E" w:themeColor="text2" w:themeShade="80"/>
              </w:rPr>
            </w:pPr>
          </w:p>
          <w:p w:rsidR="00D94B90" w:rsidRDefault="00D94B90" w:rsidP="00D94B90">
            <w:pPr>
              <w:jc w:val="both"/>
              <w:rPr>
                <w:rFonts w:ascii="Arial" w:hAnsi="Arial" w:cs="Arial"/>
                <w:color w:val="0F243E" w:themeColor="text2" w:themeShade="80"/>
              </w:rPr>
            </w:pPr>
            <w:r>
              <w:rPr>
                <w:rFonts w:ascii="Arial" w:hAnsi="Arial" w:cs="Arial"/>
                <w:color w:val="0F243E" w:themeColor="text2" w:themeShade="80"/>
              </w:rPr>
              <w:t>Estudio necesario de los diversos procesos declarativ</w:t>
            </w:r>
            <w:r w:rsidR="00716F79">
              <w:rPr>
                <w:rFonts w:ascii="Arial" w:hAnsi="Arial" w:cs="Arial"/>
                <w:color w:val="0F243E" w:themeColor="text2" w:themeShade="80"/>
              </w:rPr>
              <w:t>os y de jurisdicción voluntaria, liquidatorios y ejecutivos, al igual que las medidas cautelares nominadas e innominadas a partir de la vigencia tanto de la Ley 1395 de 2010 y recientemente del Código General del Proceso.</w:t>
            </w:r>
          </w:p>
          <w:p w:rsidR="009D3B04" w:rsidRDefault="009D3B04" w:rsidP="00CC21F3">
            <w:pPr>
              <w:rPr>
                <w:rFonts w:ascii="Arial" w:hAnsi="Arial" w:cs="Arial"/>
                <w:color w:val="0F243E" w:themeColor="text2" w:themeShade="80"/>
              </w:rPr>
            </w:pP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OBJETIVO GENERAL DE LA ASIGNATURA:</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8079F4" w:rsidP="008079F4">
            <w:pPr>
              <w:jc w:val="both"/>
              <w:rPr>
                <w:rFonts w:ascii="Arial" w:hAnsi="Arial" w:cs="Arial"/>
                <w:color w:val="0F243E" w:themeColor="text2" w:themeShade="80"/>
              </w:rPr>
            </w:pPr>
            <w:r>
              <w:rPr>
                <w:rFonts w:ascii="Arial" w:hAnsi="Arial" w:cs="Arial"/>
                <w:color w:val="0F243E" w:themeColor="text2" w:themeShade="80"/>
              </w:rPr>
              <w:t>El conocimiento de los diversos procesos en particular, incluyendo el proceso arbitral, permitiendo así que el jurista conozca en específico el proceso, procedimiento y medidas cautelares pertinentes para la solución heterocompositiva del conflicto.</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METAS DE APRENDIZAJE:</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8079F4" w:rsidP="00554817">
            <w:pPr>
              <w:jc w:val="both"/>
              <w:rPr>
                <w:rFonts w:ascii="Arial" w:hAnsi="Arial" w:cs="Arial"/>
                <w:color w:val="0F243E" w:themeColor="text2" w:themeShade="80"/>
              </w:rPr>
            </w:pPr>
            <w:r>
              <w:rPr>
                <w:rFonts w:ascii="Arial" w:hAnsi="Arial" w:cs="Arial"/>
                <w:color w:val="0F243E" w:themeColor="text2" w:themeShade="80"/>
              </w:rPr>
              <w:t xml:space="preserve">El conocimiento y aplicación de los más importantes procesos </w:t>
            </w:r>
            <w:r w:rsidR="00554817">
              <w:rPr>
                <w:rFonts w:ascii="Arial" w:hAnsi="Arial" w:cs="Arial"/>
                <w:color w:val="0F243E" w:themeColor="text2" w:themeShade="80"/>
              </w:rPr>
              <w:t>de las especialidades jurisdiccionales civil, familia, agrario y comercial; a partir de la normatividad contendida en el Código General del Proceso.</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C02EC4">
              <w:rPr>
                <w:rFonts w:ascii="Arial" w:hAnsi="Arial" w:cs="Arial"/>
                <w:b/>
                <w:color w:val="FFFFFF" w:themeColor="background1"/>
              </w:rPr>
              <w:t>PROBLEMAS A RESOLVER:</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554817" w:rsidP="00554817">
            <w:pPr>
              <w:jc w:val="both"/>
              <w:rPr>
                <w:rFonts w:ascii="Arial" w:hAnsi="Arial" w:cs="Arial"/>
                <w:color w:val="0F243E" w:themeColor="text2" w:themeShade="80"/>
              </w:rPr>
            </w:pPr>
            <w:r>
              <w:rPr>
                <w:rFonts w:ascii="Arial" w:hAnsi="Arial" w:cs="Arial"/>
                <w:color w:val="0F243E" w:themeColor="text2" w:themeShade="80"/>
              </w:rPr>
              <w:t>El buen y acertado manejo del proceso judicial en específico según la naturaleza de la controversia.</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COMPETENCIAS BÁSICAS / ESPECÍFICAS/ ÉNFASIS</w:t>
            </w:r>
            <w:r w:rsidRPr="0053478E">
              <w:rPr>
                <w:rFonts w:ascii="Arial" w:hAnsi="Arial" w:cs="Arial"/>
                <w:b/>
                <w:color w:val="FFFFFF" w:themeColor="background1"/>
              </w:rPr>
              <w:t>:</w:t>
            </w:r>
          </w:p>
        </w:tc>
      </w:tr>
      <w:tr w:rsidR="009D3B04" w:rsidTr="00CC21F3">
        <w:tc>
          <w:tcPr>
            <w:tcW w:w="9740" w:type="dxa"/>
          </w:tcPr>
          <w:p w:rsidR="009D3B04" w:rsidRDefault="009D3B04" w:rsidP="00CC21F3">
            <w:pPr>
              <w:jc w:val="both"/>
              <w:rPr>
                <w:rFonts w:ascii="Arial" w:hAnsi="Arial" w:cs="Arial"/>
                <w:color w:val="0F243E" w:themeColor="text2" w:themeShade="80"/>
              </w:rPr>
            </w:pPr>
          </w:p>
          <w:p w:rsidR="009D3B04" w:rsidRDefault="009D3B04" w:rsidP="00CC21F3">
            <w:pPr>
              <w:jc w:val="both"/>
              <w:rPr>
                <w:rFonts w:ascii="Arial" w:hAnsi="Arial" w:cs="Arial"/>
                <w:color w:val="2F2F2F"/>
                <w:sz w:val="18"/>
                <w:szCs w:val="18"/>
                <w:shd w:val="clear" w:color="auto" w:fill="FFFFFF"/>
              </w:rPr>
            </w:pPr>
            <w:r>
              <w:rPr>
                <w:rFonts w:ascii="Arial" w:hAnsi="Arial" w:cs="Arial"/>
                <w:b/>
                <w:color w:val="0F243E" w:themeColor="text2" w:themeShade="80"/>
              </w:rPr>
              <w:t xml:space="preserve">Competencias básicas: </w:t>
            </w:r>
            <w:r>
              <w:rPr>
                <w:rFonts w:ascii="Arial" w:hAnsi="Arial" w:cs="Arial"/>
                <w:color w:val="2F2F2F"/>
                <w:sz w:val="18"/>
                <w:szCs w:val="18"/>
                <w:shd w:val="clear" w:color="auto" w:fill="FFFFFF"/>
              </w:rPr>
              <w:t>Las competencias básicas son aquellas que permiten poner el acento en aquellos aprendizajes que se consideran imprescindibles.</w:t>
            </w:r>
          </w:p>
          <w:p w:rsidR="005E6497" w:rsidRDefault="005E6497" w:rsidP="00CC21F3">
            <w:pPr>
              <w:jc w:val="both"/>
              <w:rPr>
                <w:rFonts w:ascii="Arial" w:hAnsi="Arial" w:cs="Arial"/>
                <w:color w:val="2F2F2F"/>
                <w:sz w:val="18"/>
                <w:szCs w:val="18"/>
                <w:shd w:val="clear" w:color="auto" w:fill="FFFFFF"/>
              </w:rPr>
            </w:pPr>
          </w:p>
          <w:p w:rsidR="005E6497" w:rsidRDefault="005E6497" w:rsidP="00CC21F3">
            <w:pPr>
              <w:jc w:val="both"/>
              <w:rPr>
                <w:rFonts w:ascii="Arial" w:hAnsi="Arial" w:cs="Arial"/>
                <w:color w:val="2F2F2F"/>
                <w:sz w:val="22"/>
                <w:szCs w:val="22"/>
                <w:shd w:val="clear" w:color="auto" w:fill="FFFFFF"/>
              </w:rPr>
            </w:pPr>
            <w:r>
              <w:rPr>
                <w:rFonts w:ascii="Arial" w:hAnsi="Arial" w:cs="Arial"/>
                <w:color w:val="2F2F2F"/>
                <w:sz w:val="22"/>
                <w:szCs w:val="22"/>
                <w:shd w:val="clear" w:color="auto" w:fill="FFFFFF"/>
              </w:rPr>
              <w:t>Conocer el proceso judicial según el específico conflicto sometido a la jurisdicción.</w:t>
            </w:r>
          </w:p>
          <w:p w:rsidR="005E6497" w:rsidRPr="005E6497" w:rsidRDefault="005E6497" w:rsidP="00CC21F3">
            <w:pPr>
              <w:jc w:val="both"/>
              <w:rPr>
                <w:rFonts w:ascii="Arial" w:hAnsi="Arial" w:cs="Arial"/>
                <w:color w:val="2F2F2F"/>
                <w:sz w:val="22"/>
                <w:szCs w:val="22"/>
                <w:shd w:val="clear" w:color="auto" w:fill="FFFFFF"/>
              </w:rPr>
            </w:pPr>
          </w:p>
          <w:p w:rsidR="009D3B04" w:rsidRDefault="009D3B04" w:rsidP="00CC21F3">
            <w:pPr>
              <w:jc w:val="both"/>
              <w:rPr>
                <w:rFonts w:ascii="Verdana" w:hAnsi="Verdana"/>
                <w:color w:val="000000"/>
                <w:sz w:val="17"/>
                <w:szCs w:val="17"/>
                <w:shd w:val="clear" w:color="auto" w:fill="FFFFFF"/>
              </w:rPr>
            </w:pPr>
            <w:r>
              <w:rPr>
                <w:rFonts w:ascii="Arial" w:hAnsi="Arial" w:cs="Arial"/>
                <w:b/>
                <w:color w:val="2F2F2F"/>
                <w:szCs w:val="18"/>
                <w:shd w:val="clear" w:color="auto" w:fill="FFFFFF"/>
              </w:rPr>
              <w:t>C</w:t>
            </w:r>
            <w:r w:rsidRPr="00EA3F72">
              <w:rPr>
                <w:rFonts w:ascii="Arial" w:hAnsi="Arial" w:cs="Arial"/>
                <w:b/>
                <w:color w:val="2F2F2F"/>
                <w:szCs w:val="18"/>
                <w:shd w:val="clear" w:color="auto" w:fill="FFFFFF"/>
              </w:rPr>
              <w:t>ompetencias</w:t>
            </w:r>
            <w:r>
              <w:rPr>
                <w:rFonts w:ascii="Arial" w:hAnsi="Arial" w:cs="Arial"/>
                <w:b/>
                <w:color w:val="2F2F2F"/>
                <w:szCs w:val="18"/>
                <w:shd w:val="clear" w:color="auto" w:fill="FFFFFF"/>
              </w:rPr>
              <w:t xml:space="preserve"> específicas:</w:t>
            </w:r>
            <w:r w:rsidRPr="00EA3F72">
              <w:rPr>
                <w:rFonts w:ascii="Arial" w:hAnsi="Arial" w:cs="Arial"/>
                <w:b/>
                <w:color w:val="2F2F2F"/>
                <w:szCs w:val="18"/>
                <w:shd w:val="clear" w:color="auto" w:fill="FFFFFF"/>
              </w:rPr>
              <w:t xml:space="preserve"> </w:t>
            </w:r>
            <w:r>
              <w:rPr>
                <w:rFonts w:ascii="Verdana" w:hAnsi="Verdana"/>
                <w:color w:val="000000"/>
                <w:sz w:val="17"/>
                <w:szCs w:val="17"/>
                <w:shd w:val="clear" w:color="auto" w:fill="FFFFFF"/>
              </w:rPr>
              <w:t>Son las que están orientadas a habilitar a una  persona para desarrollar funciones productivas propias de una ocupación o funciones comunes a un conjunto de ocupaciones.</w:t>
            </w:r>
          </w:p>
          <w:p w:rsidR="005E6497" w:rsidRDefault="005E6497" w:rsidP="00CC21F3">
            <w:pPr>
              <w:jc w:val="both"/>
              <w:rPr>
                <w:rFonts w:ascii="Verdana" w:hAnsi="Verdana"/>
                <w:color w:val="000000"/>
                <w:sz w:val="17"/>
                <w:szCs w:val="17"/>
                <w:shd w:val="clear" w:color="auto" w:fill="FFFFFF"/>
              </w:rPr>
            </w:pPr>
          </w:p>
          <w:p w:rsidR="005E6497" w:rsidRDefault="005E6497" w:rsidP="00CC21F3">
            <w:pPr>
              <w:jc w:val="both"/>
              <w:rPr>
                <w:rFonts w:ascii="Verdana" w:hAnsi="Verdana"/>
                <w:color w:val="000000"/>
                <w:sz w:val="22"/>
                <w:szCs w:val="22"/>
                <w:shd w:val="clear" w:color="auto" w:fill="FFFFFF"/>
              </w:rPr>
            </w:pPr>
            <w:r>
              <w:rPr>
                <w:rFonts w:ascii="Verdana" w:hAnsi="Verdana"/>
                <w:color w:val="000000"/>
                <w:sz w:val="22"/>
                <w:szCs w:val="22"/>
                <w:shd w:val="clear" w:color="auto" w:fill="FFFFFF"/>
              </w:rPr>
              <w:t>Desempeñarse el futuro abogado como juez, abogado litigante, conciliador, asesor en el sector público o privado, en todo caso propendiendo por la solución de la controversia de que conoce.</w:t>
            </w:r>
          </w:p>
          <w:p w:rsidR="005E6497" w:rsidRPr="005E6497" w:rsidRDefault="005E6497" w:rsidP="00CC21F3">
            <w:pPr>
              <w:jc w:val="both"/>
              <w:rPr>
                <w:rFonts w:ascii="Arial" w:hAnsi="Arial" w:cs="Arial"/>
                <w:b/>
                <w:color w:val="0F243E" w:themeColor="text2" w:themeShade="80"/>
                <w:sz w:val="22"/>
                <w:szCs w:val="22"/>
              </w:rPr>
            </w:pPr>
          </w:p>
          <w:p w:rsidR="009D3B04" w:rsidRDefault="009D3B04" w:rsidP="00CC21F3">
            <w:pPr>
              <w:jc w:val="both"/>
              <w:rPr>
                <w:rFonts w:ascii="Arial" w:hAnsi="Arial" w:cs="Arial"/>
                <w:color w:val="333333"/>
                <w:sz w:val="18"/>
                <w:szCs w:val="18"/>
                <w:shd w:val="clear" w:color="auto" w:fill="FFFFFF"/>
              </w:rPr>
            </w:pPr>
            <w:r>
              <w:rPr>
                <w:rFonts w:ascii="Arial" w:hAnsi="Arial" w:cs="Arial"/>
                <w:b/>
                <w:color w:val="0F243E" w:themeColor="text2" w:themeShade="80"/>
              </w:rPr>
              <w:t>C</w:t>
            </w:r>
            <w:r w:rsidRPr="004A0A24">
              <w:rPr>
                <w:rFonts w:ascii="Arial" w:hAnsi="Arial" w:cs="Arial"/>
                <w:b/>
                <w:color w:val="0F243E" w:themeColor="text2" w:themeShade="80"/>
              </w:rPr>
              <w:t>ompetencias de énfasis</w:t>
            </w:r>
            <w:r>
              <w:rPr>
                <w:rFonts w:ascii="Arial" w:hAnsi="Arial" w:cs="Arial"/>
                <w:b/>
                <w:color w:val="0F243E" w:themeColor="text2" w:themeShade="80"/>
              </w:rPr>
              <w:t xml:space="preserve">: </w:t>
            </w:r>
            <w:r>
              <w:rPr>
                <w:rFonts w:ascii="Arial" w:hAnsi="Arial" w:cs="Arial"/>
                <w:color w:val="333333"/>
                <w:sz w:val="18"/>
                <w:szCs w:val="18"/>
                <w:shd w:val="clear" w:color="auto" w:fill="FFFFFF"/>
              </w:rPr>
              <w:t>otorgan los elementos teóricos, conceptuales para abordar y apropiarse del desarrollo de un proyecto.</w:t>
            </w:r>
          </w:p>
          <w:p w:rsidR="005E6497" w:rsidRDefault="005E6497" w:rsidP="00CC21F3">
            <w:pPr>
              <w:jc w:val="both"/>
              <w:rPr>
                <w:rFonts w:ascii="Arial" w:hAnsi="Arial" w:cs="Arial"/>
                <w:color w:val="333333"/>
                <w:sz w:val="18"/>
                <w:szCs w:val="18"/>
                <w:shd w:val="clear" w:color="auto" w:fill="FFFFFF"/>
              </w:rPr>
            </w:pPr>
          </w:p>
          <w:p w:rsidR="005E6497" w:rsidRPr="005E6497" w:rsidRDefault="005E6497" w:rsidP="00CC21F3">
            <w:pPr>
              <w:jc w:val="both"/>
              <w:rPr>
                <w:rFonts w:ascii="Arial" w:hAnsi="Arial" w:cs="Arial"/>
                <w:color w:val="0F243E" w:themeColor="text2" w:themeShade="80"/>
                <w:sz w:val="22"/>
                <w:szCs w:val="22"/>
              </w:rPr>
            </w:pPr>
            <w:r>
              <w:rPr>
                <w:rFonts w:ascii="Arial" w:hAnsi="Arial" w:cs="Arial"/>
                <w:color w:val="333333"/>
                <w:sz w:val="22"/>
                <w:szCs w:val="22"/>
                <w:shd w:val="clear" w:color="auto" w:fill="FFFFFF"/>
              </w:rPr>
              <w:t xml:space="preserve">El conocimiento de la asignatura permite al alumno en lo académico poder presentar proyectos </w:t>
            </w:r>
            <w:r w:rsidR="00C639A2">
              <w:rPr>
                <w:rFonts w:ascii="Arial" w:hAnsi="Arial" w:cs="Arial"/>
                <w:color w:val="333333"/>
                <w:sz w:val="22"/>
                <w:szCs w:val="22"/>
                <w:shd w:val="clear" w:color="auto" w:fill="FFFFFF"/>
              </w:rPr>
              <w:t>de investigación inherentes a la complementación de los diversos procesos de la jurisdicción ordinaria frente a los consagrados en tribunales y cortes internacionales; su integración a partir del bloque de constitucionalidad y el control de convencionalidad.</w:t>
            </w:r>
          </w:p>
          <w:p w:rsidR="009D3B04" w:rsidRDefault="009D3B04" w:rsidP="00CC21F3">
            <w:pPr>
              <w:jc w:val="both"/>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Pr>
                <w:rFonts w:ascii="Arial" w:hAnsi="Arial" w:cs="Arial"/>
                <w:b/>
                <w:color w:val="FFFFFF" w:themeColor="background1"/>
              </w:rPr>
              <w:t>DISCIPLINAS QUE SE INTEGRAN</w:t>
            </w:r>
            <w:r w:rsidRPr="004E03C5">
              <w:rPr>
                <w:rFonts w:ascii="Arial" w:hAnsi="Arial" w:cs="Arial"/>
                <w:b/>
                <w:color w:val="FFFFFF" w:themeColor="background1"/>
              </w:rPr>
              <w:t>:</w:t>
            </w:r>
          </w:p>
        </w:tc>
      </w:tr>
      <w:tr w:rsidR="009D3B04" w:rsidTr="00CC21F3">
        <w:tc>
          <w:tcPr>
            <w:tcW w:w="9740" w:type="dxa"/>
          </w:tcPr>
          <w:p w:rsidR="009D3B04" w:rsidRDefault="009D3B04" w:rsidP="00CC21F3">
            <w:pPr>
              <w:rPr>
                <w:rFonts w:ascii="Arial" w:hAnsi="Arial" w:cs="Arial"/>
                <w:color w:val="0F243E" w:themeColor="text2" w:themeShade="80"/>
              </w:rPr>
            </w:pPr>
          </w:p>
          <w:p w:rsidR="009D3B04" w:rsidRDefault="001E64E8" w:rsidP="00CC21F3">
            <w:pPr>
              <w:rPr>
                <w:rFonts w:ascii="Arial" w:hAnsi="Arial" w:cs="Arial"/>
                <w:color w:val="0F243E" w:themeColor="text2" w:themeShade="80"/>
              </w:rPr>
            </w:pPr>
            <w:r>
              <w:rPr>
                <w:rFonts w:ascii="Arial" w:hAnsi="Arial" w:cs="Arial"/>
                <w:color w:val="0F243E" w:themeColor="text2" w:themeShade="80"/>
              </w:rPr>
              <w:t>El derecho Constitucional, el Derecho Procesal Civil, El derecho comparado, incluyendo aquí los tratados y convenciones internacionales, que ratificados por Colombia, constituyen bloque de Constitucionalidad.</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p w:rsidR="00B3659A" w:rsidRDefault="00B3659A"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5307D9" w:rsidP="00CC21F3">
            <w:pPr>
              <w:rPr>
                <w:rFonts w:ascii="Arial" w:hAnsi="Arial" w:cs="Arial"/>
                <w:b/>
                <w:color w:val="0F243E" w:themeColor="text2" w:themeShade="80"/>
              </w:rPr>
            </w:pPr>
            <w:r>
              <w:rPr>
                <w:rFonts w:ascii="Arial" w:hAnsi="Arial" w:cs="Arial"/>
                <w:b/>
                <w:color w:val="FFFFFF" w:themeColor="background1"/>
              </w:rPr>
              <w:t>CONTENIDOS PROGRAMÁTICOS:</w:t>
            </w:r>
          </w:p>
        </w:tc>
      </w:tr>
      <w:tr w:rsidR="009D3B04" w:rsidTr="005307D9">
        <w:trPr>
          <w:trHeight w:val="417"/>
        </w:trPr>
        <w:tc>
          <w:tcPr>
            <w:tcW w:w="9740" w:type="dxa"/>
          </w:tcPr>
          <w:p w:rsidR="009D3B04" w:rsidRDefault="009D3B04" w:rsidP="005307D9">
            <w:pPr>
              <w:rPr>
                <w:rFonts w:ascii="Arial" w:hAnsi="Arial" w:cs="Arial"/>
                <w:color w:val="0F243E" w:themeColor="text2" w:themeShade="80"/>
              </w:rPr>
            </w:pPr>
          </w:p>
          <w:p w:rsidR="005307D9" w:rsidRDefault="001E64E8" w:rsidP="005307D9">
            <w:pPr>
              <w:rPr>
                <w:rFonts w:ascii="Arial" w:hAnsi="Arial" w:cs="Arial"/>
                <w:color w:val="0F243E" w:themeColor="text2" w:themeShade="80"/>
              </w:rPr>
            </w:pPr>
            <w:r>
              <w:rPr>
                <w:rFonts w:ascii="Arial" w:hAnsi="Arial" w:cs="Arial"/>
                <w:color w:val="0F243E" w:themeColor="text2" w:themeShade="80"/>
              </w:rPr>
              <w:t>La asignatura se desarrolla a partir de observar el CGP, Ley 1395 de 2010 y CGP. Todo ello en función de la entrada en vigencia de la oralidad para el proceso civil.</w:t>
            </w:r>
          </w:p>
          <w:p w:rsidR="001E64E8" w:rsidRDefault="001E64E8" w:rsidP="005307D9">
            <w:pPr>
              <w:rPr>
                <w:rFonts w:ascii="Arial" w:hAnsi="Arial" w:cs="Arial"/>
                <w:color w:val="0F243E" w:themeColor="text2" w:themeShade="80"/>
              </w:rPr>
            </w:pPr>
          </w:p>
          <w:p w:rsidR="001E64E8" w:rsidRDefault="001E64E8" w:rsidP="005307D9">
            <w:pPr>
              <w:rPr>
                <w:rFonts w:ascii="Arial" w:hAnsi="Arial" w:cs="Arial"/>
                <w:color w:val="0F243E" w:themeColor="text2" w:themeShade="80"/>
              </w:rPr>
            </w:pPr>
            <w:r>
              <w:rPr>
                <w:rFonts w:ascii="Arial" w:hAnsi="Arial" w:cs="Arial"/>
                <w:color w:val="0F243E" w:themeColor="text2" w:themeShade="80"/>
              </w:rPr>
              <w:t>1.- Clasificación de los procesos según el CGP.</w:t>
            </w:r>
          </w:p>
          <w:p w:rsidR="001E64E8" w:rsidRDefault="001E64E8" w:rsidP="005307D9">
            <w:pPr>
              <w:rPr>
                <w:rFonts w:ascii="Arial" w:hAnsi="Arial" w:cs="Arial"/>
                <w:color w:val="0F243E" w:themeColor="text2" w:themeShade="80"/>
              </w:rPr>
            </w:pPr>
            <w:r>
              <w:rPr>
                <w:rFonts w:ascii="Arial" w:hAnsi="Arial" w:cs="Arial"/>
                <w:color w:val="0F243E" w:themeColor="text2" w:themeShade="80"/>
              </w:rPr>
              <w:t>2.- El proceso declarativo, a partir de una fase introductoria escritural, las restantes fases en audiencia, artículos 372 y 373 del CGP.</w:t>
            </w:r>
          </w:p>
          <w:p w:rsidR="001E64E8" w:rsidRDefault="001E64E8" w:rsidP="005307D9">
            <w:pPr>
              <w:rPr>
                <w:rFonts w:ascii="Arial" w:hAnsi="Arial" w:cs="Arial"/>
                <w:color w:val="0F243E" w:themeColor="text2" w:themeShade="80"/>
              </w:rPr>
            </w:pPr>
            <w:r>
              <w:rPr>
                <w:rFonts w:ascii="Arial" w:hAnsi="Arial" w:cs="Arial"/>
                <w:color w:val="0F243E" w:themeColor="text2" w:themeShade="80"/>
              </w:rPr>
              <w:t>3.- Asuntos sometidos al trámite declarativo.</w:t>
            </w:r>
          </w:p>
          <w:p w:rsidR="001E64E8" w:rsidRDefault="001E64E8" w:rsidP="005307D9">
            <w:pPr>
              <w:rPr>
                <w:rFonts w:ascii="Arial" w:hAnsi="Arial" w:cs="Arial"/>
                <w:color w:val="0F243E" w:themeColor="text2" w:themeShade="80"/>
              </w:rPr>
            </w:pPr>
            <w:r>
              <w:rPr>
                <w:rFonts w:ascii="Arial" w:hAnsi="Arial" w:cs="Arial"/>
                <w:color w:val="0F243E" w:themeColor="text2" w:themeShade="80"/>
              </w:rPr>
              <w:t>4.- El proceso verbal sumario.</w:t>
            </w:r>
          </w:p>
          <w:p w:rsidR="001E64E8" w:rsidRDefault="001E64E8" w:rsidP="005307D9">
            <w:pPr>
              <w:rPr>
                <w:rFonts w:ascii="Arial" w:hAnsi="Arial" w:cs="Arial"/>
                <w:color w:val="0F243E" w:themeColor="text2" w:themeShade="80"/>
              </w:rPr>
            </w:pPr>
            <w:r>
              <w:rPr>
                <w:rFonts w:ascii="Arial" w:hAnsi="Arial" w:cs="Arial"/>
                <w:color w:val="0F243E" w:themeColor="text2" w:themeShade="80"/>
              </w:rPr>
              <w:t>5.- El proceso ejecutivo con garantía personal o quirografaria.</w:t>
            </w:r>
          </w:p>
          <w:p w:rsidR="001E64E8" w:rsidRDefault="001E64E8" w:rsidP="005307D9">
            <w:pPr>
              <w:rPr>
                <w:rFonts w:ascii="Arial" w:hAnsi="Arial" w:cs="Arial"/>
                <w:color w:val="0F243E" w:themeColor="text2" w:themeShade="80"/>
              </w:rPr>
            </w:pPr>
            <w:r>
              <w:rPr>
                <w:rFonts w:ascii="Arial" w:hAnsi="Arial" w:cs="Arial"/>
                <w:color w:val="0F243E" w:themeColor="text2" w:themeShade="80"/>
              </w:rPr>
              <w:t>6.- Proceso ejecutivo con garantía real, prenda e hipoteca.</w:t>
            </w:r>
          </w:p>
          <w:p w:rsidR="001E64E8" w:rsidRDefault="001E64E8" w:rsidP="005307D9">
            <w:pPr>
              <w:rPr>
                <w:rFonts w:ascii="Arial" w:hAnsi="Arial" w:cs="Arial"/>
                <w:color w:val="0F243E" w:themeColor="text2" w:themeShade="80"/>
              </w:rPr>
            </w:pPr>
            <w:r>
              <w:rPr>
                <w:rFonts w:ascii="Arial" w:hAnsi="Arial" w:cs="Arial"/>
                <w:color w:val="0F243E" w:themeColor="text2" w:themeShade="80"/>
              </w:rPr>
              <w:t>7.- Procesos liquidatorios, generalidades inherentes a su trámite.</w:t>
            </w:r>
          </w:p>
          <w:p w:rsidR="001E64E8" w:rsidRDefault="001E64E8" w:rsidP="005307D9">
            <w:pPr>
              <w:rPr>
                <w:rFonts w:ascii="Arial" w:hAnsi="Arial" w:cs="Arial"/>
                <w:color w:val="0F243E" w:themeColor="text2" w:themeShade="80"/>
              </w:rPr>
            </w:pPr>
            <w:r>
              <w:rPr>
                <w:rFonts w:ascii="Arial" w:hAnsi="Arial" w:cs="Arial"/>
                <w:color w:val="0F243E" w:themeColor="text2" w:themeShade="80"/>
              </w:rPr>
              <w:t>8.- Breve noción del proceso de sucesión.</w:t>
            </w:r>
          </w:p>
          <w:p w:rsidR="001E64E8" w:rsidRDefault="001E64E8" w:rsidP="005307D9">
            <w:pPr>
              <w:rPr>
                <w:rFonts w:ascii="Arial" w:hAnsi="Arial" w:cs="Arial"/>
                <w:color w:val="0F243E" w:themeColor="text2" w:themeShade="80"/>
              </w:rPr>
            </w:pPr>
            <w:r>
              <w:rPr>
                <w:rFonts w:ascii="Arial" w:hAnsi="Arial" w:cs="Arial"/>
                <w:color w:val="0F243E" w:themeColor="text2" w:themeShade="80"/>
              </w:rPr>
              <w:t>9.- Breve noción del proceso de jurisdicción voluntaria.</w:t>
            </w:r>
          </w:p>
          <w:p w:rsidR="001E64E8" w:rsidRDefault="001E64E8" w:rsidP="005307D9">
            <w:pPr>
              <w:rPr>
                <w:rFonts w:ascii="Arial" w:hAnsi="Arial" w:cs="Arial"/>
                <w:color w:val="0F243E" w:themeColor="text2" w:themeShade="80"/>
              </w:rPr>
            </w:pPr>
            <w:r>
              <w:rPr>
                <w:rFonts w:ascii="Arial" w:hAnsi="Arial" w:cs="Arial"/>
                <w:color w:val="0F243E" w:themeColor="text2" w:themeShade="80"/>
              </w:rPr>
              <w:t>10-Los procesos y medidas cautelares, libro 4 del CGP.</w:t>
            </w:r>
          </w:p>
          <w:p w:rsidR="001E64E8" w:rsidRDefault="001E64E8" w:rsidP="005307D9">
            <w:pPr>
              <w:rPr>
                <w:rFonts w:ascii="Arial" w:hAnsi="Arial" w:cs="Arial"/>
                <w:color w:val="0F243E" w:themeColor="text2" w:themeShade="80"/>
              </w:rPr>
            </w:pPr>
            <w:r>
              <w:rPr>
                <w:rFonts w:ascii="Arial" w:hAnsi="Arial" w:cs="Arial"/>
                <w:color w:val="0F243E" w:themeColor="text2" w:themeShade="80"/>
              </w:rPr>
              <w:t>11-Desarrollo de la medida cautelar innominada</w:t>
            </w:r>
            <w:r w:rsidR="003821AB">
              <w:rPr>
                <w:rFonts w:ascii="Arial" w:hAnsi="Arial" w:cs="Arial"/>
                <w:color w:val="0F243E" w:themeColor="text2" w:themeShade="80"/>
              </w:rPr>
              <w:t xml:space="preserve"> al unísono con la prueba extraprocesal. </w:t>
            </w:r>
          </w:p>
          <w:p w:rsidR="00E152EC" w:rsidRDefault="00E152EC" w:rsidP="005307D9">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5307D9" w:rsidTr="00E525ED">
        <w:tc>
          <w:tcPr>
            <w:tcW w:w="9740" w:type="dxa"/>
            <w:shd w:val="clear" w:color="auto" w:fill="365F91" w:themeFill="accent1" w:themeFillShade="BF"/>
          </w:tcPr>
          <w:p w:rsidR="005307D9" w:rsidRPr="00030862" w:rsidRDefault="005307D9" w:rsidP="00E525ED">
            <w:pPr>
              <w:rPr>
                <w:rFonts w:ascii="Arial" w:hAnsi="Arial" w:cs="Arial"/>
                <w:b/>
                <w:color w:val="0F243E" w:themeColor="text2" w:themeShade="80"/>
              </w:rPr>
            </w:pPr>
            <w:r>
              <w:rPr>
                <w:rFonts w:ascii="Arial" w:hAnsi="Arial" w:cs="Arial"/>
                <w:b/>
                <w:color w:val="FFFFFF" w:themeColor="background1"/>
              </w:rPr>
              <w:t>TEORÍAS Y CONCEPTOS</w:t>
            </w:r>
            <w:r w:rsidRPr="006D5D86">
              <w:rPr>
                <w:rFonts w:ascii="Arial" w:hAnsi="Arial" w:cs="Arial"/>
                <w:b/>
                <w:color w:val="FFFFFF" w:themeColor="background1"/>
              </w:rPr>
              <w:t>:</w:t>
            </w:r>
          </w:p>
        </w:tc>
      </w:tr>
      <w:tr w:rsidR="005307D9" w:rsidTr="00E525ED">
        <w:tc>
          <w:tcPr>
            <w:tcW w:w="9740" w:type="dxa"/>
          </w:tcPr>
          <w:p w:rsidR="005307D9" w:rsidRDefault="00E152EC" w:rsidP="00E152EC">
            <w:pPr>
              <w:jc w:val="both"/>
              <w:rPr>
                <w:rFonts w:ascii="Arial" w:hAnsi="Arial" w:cs="Arial"/>
                <w:color w:val="0F243E" w:themeColor="text2" w:themeShade="80"/>
              </w:rPr>
            </w:pPr>
            <w:r>
              <w:rPr>
                <w:rFonts w:ascii="Arial" w:hAnsi="Arial" w:cs="Arial"/>
                <w:color w:val="0F243E" w:themeColor="text2" w:themeShade="80"/>
              </w:rPr>
              <w:t>La cátedra del Derecho Procesal Civil Especial se desarrolla inicialmente a partir de la cátedra magistral para la aprehensión del conocimiento teórico, luego la aplicación práctica con base en el estudio por casos.</w:t>
            </w:r>
          </w:p>
          <w:p w:rsidR="005307D9" w:rsidRDefault="005307D9" w:rsidP="00E525ED">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METODOLOGÍA:</w:t>
            </w:r>
          </w:p>
        </w:tc>
      </w:tr>
      <w:tr w:rsidR="009D3B04" w:rsidTr="00CC21F3">
        <w:tc>
          <w:tcPr>
            <w:tcW w:w="9740" w:type="dxa"/>
          </w:tcPr>
          <w:p w:rsidR="009D3B04" w:rsidRDefault="00477051" w:rsidP="00CC21F3">
            <w:pPr>
              <w:rPr>
                <w:rFonts w:ascii="Arial" w:hAnsi="Arial" w:cs="Arial"/>
                <w:color w:val="0F243E" w:themeColor="text2" w:themeShade="80"/>
              </w:rPr>
            </w:pPr>
            <w:r>
              <w:rPr>
                <w:rFonts w:ascii="Arial" w:hAnsi="Arial" w:cs="Arial"/>
                <w:color w:val="0F243E" w:themeColor="text2" w:themeShade="80"/>
              </w:rPr>
              <w:t>Clase magistral y estudio por casos a partir del cumplimiento de talleres que permiten aplicar el concepto y resolver problemas cotidianos en la vida jurídica que enfrenta el abogado.</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4A3921" w:rsidRDefault="009D3B04" w:rsidP="00CC21F3">
            <w:pPr>
              <w:rPr>
                <w:rFonts w:ascii="Arial" w:hAnsi="Arial" w:cs="Arial"/>
                <w:b/>
                <w:color w:val="FFFFFF" w:themeColor="background1"/>
              </w:rPr>
            </w:pPr>
            <w:r w:rsidRPr="004A3921">
              <w:rPr>
                <w:rFonts w:ascii="Arial" w:hAnsi="Arial" w:cs="Arial"/>
                <w:b/>
                <w:color w:val="FFFFFF" w:themeColor="background1"/>
              </w:rPr>
              <w:t>EVALUACIÓN:</w:t>
            </w:r>
          </w:p>
        </w:tc>
      </w:tr>
      <w:tr w:rsidR="009D3B04" w:rsidTr="00CC21F3">
        <w:tc>
          <w:tcPr>
            <w:tcW w:w="9740" w:type="dxa"/>
          </w:tcPr>
          <w:p w:rsidR="009D3B04" w:rsidRDefault="00477051" w:rsidP="00CC21F3">
            <w:pPr>
              <w:rPr>
                <w:rFonts w:ascii="Arial" w:hAnsi="Arial" w:cs="Arial"/>
                <w:color w:val="0F243E" w:themeColor="text2" w:themeShade="80"/>
              </w:rPr>
            </w:pPr>
            <w:r>
              <w:rPr>
                <w:rFonts w:ascii="Arial" w:hAnsi="Arial" w:cs="Arial"/>
                <w:color w:val="0F243E" w:themeColor="text2" w:themeShade="80"/>
              </w:rPr>
              <w:t>A partir de la coevaluación en el curso del semestre se examina el avance del dicente en el conocimiento de la asignatura.</w:t>
            </w:r>
          </w:p>
          <w:p w:rsidR="009D3B04" w:rsidRDefault="009D3B04" w:rsidP="00CC21F3">
            <w:pPr>
              <w:rPr>
                <w:rFonts w:ascii="Arial" w:hAnsi="Arial" w:cs="Arial"/>
                <w:color w:val="0F243E" w:themeColor="text2" w:themeShade="80"/>
              </w:rPr>
            </w:pPr>
          </w:p>
        </w:tc>
      </w:tr>
    </w:tbl>
    <w:p w:rsidR="009D3B04" w:rsidRDefault="009D3B04" w:rsidP="009D3B04">
      <w:pPr>
        <w:rPr>
          <w:rFonts w:ascii="Arial" w:hAnsi="Arial" w:cs="Arial"/>
          <w:color w:val="0F243E" w:themeColor="text2" w:themeShade="80"/>
        </w:rPr>
      </w:pPr>
    </w:p>
    <w:tbl>
      <w:tblPr>
        <w:tblStyle w:val="Tablaconcuadrcula"/>
        <w:tblW w:w="0" w:type="auto"/>
        <w:tblLook w:val="04A0" w:firstRow="1" w:lastRow="0" w:firstColumn="1" w:lastColumn="0" w:noHBand="0" w:noVBand="1"/>
      </w:tblPr>
      <w:tblGrid>
        <w:gridCol w:w="9054"/>
      </w:tblGrid>
      <w:tr w:rsidR="009D3B04" w:rsidTr="00CC21F3">
        <w:tc>
          <w:tcPr>
            <w:tcW w:w="9740" w:type="dxa"/>
            <w:shd w:val="clear" w:color="auto" w:fill="365F91" w:themeFill="accent1" w:themeFillShade="BF"/>
          </w:tcPr>
          <w:p w:rsidR="009D3B04" w:rsidRPr="00030862" w:rsidRDefault="009D3B04" w:rsidP="00CC21F3">
            <w:pPr>
              <w:rPr>
                <w:rFonts w:ascii="Arial" w:hAnsi="Arial" w:cs="Arial"/>
                <w:b/>
                <w:color w:val="0F243E" w:themeColor="text2" w:themeShade="80"/>
              </w:rPr>
            </w:pPr>
            <w:r w:rsidRPr="004A3921">
              <w:rPr>
                <w:rFonts w:ascii="Arial" w:hAnsi="Arial" w:cs="Arial"/>
                <w:b/>
                <w:color w:val="FFFFFF" w:themeColor="background1"/>
              </w:rPr>
              <w:t>RECURSOS :</w:t>
            </w:r>
          </w:p>
        </w:tc>
      </w:tr>
      <w:tr w:rsidR="009D3B04" w:rsidTr="00CC21F3">
        <w:tc>
          <w:tcPr>
            <w:tcW w:w="9740" w:type="dxa"/>
          </w:tcPr>
          <w:p w:rsidR="009D3B04" w:rsidRDefault="009D3B04" w:rsidP="00CC21F3">
            <w:pPr>
              <w:rPr>
                <w:rFonts w:ascii="Arial" w:hAnsi="Arial" w:cs="Arial"/>
                <w:b/>
                <w:color w:val="0F243E" w:themeColor="text2" w:themeShade="80"/>
              </w:rPr>
            </w:pPr>
            <w:r w:rsidRPr="007F40E6">
              <w:rPr>
                <w:rFonts w:ascii="Arial" w:hAnsi="Arial" w:cs="Arial"/>
                <w:b/>
                <w:color w:val="0F243E" w:themeColor="text2" w:themeShade="80"/>
              </w:rPr>
              <w:t>BIBLIOGRAFÍA BÁSICA Y COMPLEMENTARIA</w:t>
            </w:r>
          </w:p>
          <w:p w:rsidR="00AE0BF3" w:rsidRDefault="00AE0BF3" w:rsidP="00CC21F3">
            <w:pPr>
              <w:rPr>
                <w:rFonts w:ascii="Arial" w:hAnsi="Arial" w:cs="Arial"/>
                <w:b/>
                <w:color w:val="0F243E" w:themeColor="text2" w:themeShade="80"/>
              </w:rPr>
            </w:pPr>
          </w:p>
          <w:p w:rsidR="00AE0BF3" w:rsidRDefault="00AE0BF3" w:rsidP="00CC21F3">
            <w:pPr>
              <w:rPr>
                <w:rFonts w:ascii="Arial" w:hAnsi="Arial" w:cs="Arial"/>
                <w:color w:val="0F243E" w:themeColor="text2" w:themeShade="80"/>
              </w:rPr>
            </w:pPr>
            <w:r>
              <w:rPr>
                <w:rFonts w:ascii="Arial" w:hAnsi="Arial" w:cs="Arial"/>
                <w:color w:val="0F243E" w:themeColor="text2" w:themeShade="80"/>
              </w:rPr>
              <w:t>AZULA CAMANCHO, Jaime. Curso de Derecho Procesal Civil, tomos, 3, 4, 5.</w:t>
            </w:r>
          </w:p>
          <w:p w:rsidR="00AE0BF3" w:rsidRDefault="00AE0BF3" w:rsidP="00CC21F3">
            <w:pPr>
              <w:rPr>
                <w:rFonts w:ascii="Arial" w:hAnsi="Arial" w:cs="Arial"/>
                <w:color w:val="0F243E" w:themeColor="text2" w:themeShade="80"/>
              </w:rPr>
            </w:pPr>
            <w:r>
              <w:rPr>
                <w:rFonts w:ascii="Arial" w:hAnsi="Arial" w:cs="Arial"/>
                <w:color w:val="0F243E" w:themeColor="text2" w:themeShade="80"/>
              </w:rPr>
              <w:t>LÓPEZ BLANCO, Hernán Fabio. Procedimiento Civil, tomo II.</w:t>
            </w:r>
          </w:p>
          <w:p w:rsidR="00AE0BF3" w:rsidRPr="00AE0BF3" w:rsidRDefault="00AE0BF3" w:rsidP="00CC21F3">
            <w:pPr>
              <w:rPr>
                <w:rFonts w:ascii="Arial" w:hAnsi="Arial" w:cs="Arial"/>
                <w:color w:val="0F243E" w:themeColor="text2" w:themeShade="80"/>
              </w:rPr>
            </w:pPr>
            <w:r>
              <w:rPr>
                <w:rFonts w:ascii="Arial" w:hAnsi="Arial" w:cs="Arial"/>
                <w:color w:val="0F243E" w:themeColor="text2" w:themeShade="80"/>
              </w:rPr>
              <w:t>Conferencias gravadas por el dicente en diversas universidades.</w:t>
            </w:r>
          </w:p>
          <w:p w:rsidR="009D3B04" w:rsidRPr="007F40E6"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 xml:space="preserve">MEDIOS Y RECURSOS </w:t>
            </w:r>
          </w:p>
          <w:p w:rsidR="00D51F15" w:rsidRDefault="00D51F15" w:rsidP="00CC21F3">
            <w:pPr>
              <w:rPr>
                <w:rFonts w:ascii="Arial" w:hAnsi="Arial" w:cs="Arial"/>
                <w:b/>
                <w:color w:val="0F243E" w:themeColor="text2" w:themeShade="80"/>
              </w:rPr>
            </w:pPr>
          </w:p>
          <w:p w:rsidR="00D51F15" w:rsidRPr="00D51F15" w:rsidRDefault="00D51F15" w:rsidP="00CC21F3">
            <w:pPr>
              <w:rPr>
                <w:rFonts w:ascii="Arial" w:hAnsi="Arial" w:cs="Arial"/>
                <w:color w:val="0F243E" w:themeColor="text2" w:themeShade="80"/>
              </w:rPr>
            </w:pPr>
            <w:r>
              <w:rPr>
                <w:rFonts w:ascii="Arial" w:hAnsi="Arial" w:cs="Arial"/>
                <w:color w:val="0F243E" w:themeColor="text2" w:themeShade="80"/>
              </w:rPr>
              <w:t>Estudio de la asignatura primordialmente en el aula, dado su carácter práctico y aprendizaje basado en la experiencia del abogado.</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SOFTWARE /AULAS VIRTUALES / ESPACIOS ELECTRÓNICOS</w:t>
            </w:r>
          </w:p>
          <w:p w:rsidR="00A77076" w:rsidRDefault="00A77076" w:rsidP="00CC21F3">
            <w:pPr>
              <w:rPr>
                <w:rFonts w:ascii="Arial" w:hAnsi="Arial" w:cs="Arial"/>
                <w:b/>
                <w:color w:val="0F243E" w:themeColor="text2" w:themeShade="80"/>
              </w:rPr>
            </w:pPr>
          </w:p>
          <w:p w:rsidR="00A77076" w:rsidRPr="00A77076" w:rsidRDefault="00A77076" w:rsidP="00CC21F3">
            <w:pPr>
              <w:rPr>
                <w:rFonts w:ascii="Arial" w:hAnsi="Arial" w:cs="Arial"/>
                <w:color w:val="0F243E" w:themeColor="text2" w:themeShade="80"/>
              </w:rPr>
            </w:pPr>
            <w:r>
              <w:rPr>
                <w:rFonts w:ascii="Arial" w:hAnsi="Arial" w:cs="Arial"/>
                <w:color w:val="0F243E" w:themeColor="text2" w:themeShade="80"/>
              </w:rPr>
              <w:t>www.icdp.org.co</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LABOR</w:t>
            </w:r>
            <w:r w:rsidR="001045BF">
              <w:rPr>
                <w:rFonts w:ascii="Arial" w:hAnsi="Arial" w:cs="Arial"/>
                <w:b/>
                <w:color w:val="0F243E" w:themeColor="text2" w:themeShade="80"/>
              </w:rPr>
              <w:t>A</w:t>
            </w:r>
            <w:r w:rsidRPr="00C6539E">
              <w:rPr>
                <w:rFonts w:ascii="Arial" w:hAnsi="Arial" w:cs="Arial"/>
                <w:b/>
                <w:color w:val="0F243E" w:themeColor="text2" w:themeShade="80"/>
              </w:rPr>
              <w:t>TORIOS Y/O SITIOS DE PRÁCTICA</w:t>
            </w:r>
          </w:p>
          <w:p w:rsidR="00A77076" w:rsidRDefault="00A77076" w:rsidP="00CC21F3">
            <w:pPr>
              <w:rPr>
                <w:rFonts w:ascii="Arial" w:hAnsi="Arial" w:cs="Arial"/>
                <w:b/>
                <w:color w:val="0F243E" w:themeColor="text2" w:themeShade="80"/>
              </w:rPr>
            </w:pPr>
          </w:p>
          <w:p w:rsidR="00A77076" w:rsidRPr="00A77076" w:rsidRDefault="00A77076" w:rsidP="00CC21F3">
            <w:pPr>
              <w:rPr>
                <w:rFonts w:ascii="Arial" w:hAnsi="Arial" w:cs="Arial"/>
                <w:color w:val="0F243E" w:themeColor="text2" w:themeShade="80"/>
              </w:rPr>
            </w:pPr>
            <w:r>
              <w:rPr>
                <w:rFonts w:ascii="Arial" w:hAnsi="Arial" w:cs="Arial"/>
                <w:color w:val="0F243E" w:themeColor="text2" w:themeShade="80"/>
              </w:rPr>
              <w:t>El aula de clase, el proceso simulado y eventuales visitas a los despachos judiciales de  la ciudad.</w:t>
            </w:r>
          </w:p>
          <w:p w:rsidR="009D3B04" w:rsidRPr="00C6539E" w:rsidRDefault="009D3B04" w:rsidP="00CC21F3">
            <w:pPr>
              <w:rPr>
                <w:rFonts w:ascii="Arial" w:hAnsi="Arial" w:cs="Arial"/>
                <w:b/>
                <w:color w:val="0F243E" w:themeColor="text2" w:themeShade="80"/>
              </w:rPr>
            </w:pPr>
          </w:p>
        </w:tc>
      </w:tr>
      <w:tr w:rsidR="009D3B04" w:rsidTr="00CC21F3">
        <w:tc>
          <w:tcPr>
            <w:tcW w:w="9740" w:type="dxa"/>
          </w:tcPr>
          <w:p w:rsidR="009D3B04" w:rsidRDefault="009D3B04" w:rsidP="00CC21F3">
            <w:pPr>
              <w:rPr>
                <w:rFonts w:ascii="Arial" w:hAnsi="Arial" w:cs="Arial"/>
                <w:b/>
                <w:color w:val="0F243E" w:themeColor="text2" w:themeShade="80"/>
              </w:rPr>
            </w:pPr>
            <w:r w:rsidRPr="00C6539E">
              <w:rPr>
                <w:rFonts w:ascii="Arial" w:hAnsi="Arial" w:cs="Arial"/>
                <w:b/>
                <w:color w:val="0F243E" w:themeColor="text2" w:themeShade="80"/>
              </w:rPr>
              <w:t>EQUIPOS Y MATERIALES</w:t>
            </w:r>
          </w:p>
          <w:p w:rsidR="00A77076" w:rsidRDefault="00A77076" w:rsidP="00CC21F3">
            <w:pPr>
              <w:rPr>
                <w:rFonts w:ascii="Arial" w:hAnsi="Arial" w:cs="Arial"/>
                <w:b/>
                <w:color w:val="0F243E" w:themeColor="text2" w:themeShade="80"/>
              </w:rPr>
            </w:pPr>
          </w:p>
          <w:p w:rsidR="00A77076" w:rsidRPr="00A77076" w:rsidRDefault="00A77076" w:rsidP="00CC21F3">
            <w:pPr>
              <w:rPr>
                <w:rFonts w:ascii="Arial" w:hAnsi="Arial" w:cs="Arial"/>
                <w:color w:val="0F243E" w:themeColor="text2" w:themeShade="80"/>
              </w:rPr>
            </w:pPr>
            <w:r>
              <w:rPr>
                <w:rFonts w:ascii="Arial" w:hAnsi="Arial" w:cs="Arial"/>
                <w:color w:val="0F243E" w:themeColor="text2" w:themeShade="80"/>
              </w:rPr>
              <w:t>El estudio cotidiano de la asignatura conlleva el análisis y comprensión de la norma procesal, el CPC, Ley 1395 de 2010 y CGP. A más imprescindible la C.P.</w:t>
            </w:r>
          </w:p>
          <w:p w:rsidR="009D3B04" w:rsidRDefault="009D3B04" w:rsidP="00CC21F3">
            <w:pPr>
              <w:rPr>
                <w:rFonts w:ascii="Arial" w:hAnsi="Arial" w:cs="Arial"/>
                <w:color w:val="0F243E" w:themeColor="text2" w:themeShade="80"/>
              </w:rPr>
            </w:pPr>
          </w:p>
        </w:tc>
      </w:tr>
    </w:tbl>
    <w:p w:rsidR="009D3B04" w:rsidRPr="0086312B" w:rsidRDefault="009D3B04" w:rsidP="009D3B04">
      <w:pPr>
        <w:rPr>
          <w:rFonts w:ascii="Arial" w:hAnsi="Arial" w:cs="Arial"/>
          <w:color w:val="0F243E" w:themeColor="text2" w:themeShade="80"/>
        </w:rPr>
      </w:pPr>
    </w:p>
    <w:p w:rsidR="00373F2F" w:rsidRPr="009D3B04" w:rsidRDefault="00373F2F" w:rsidP="009D3B04"/>
    <w:sectPr w:rsidR="00373F2F" w:rsidRPr="009D3B04" w:rsidSect="00F60130">
      <w:headerReference w:type="even" r:id="rId9"/>
      <w:headerReference w:type="default" r:id="rId10"/>
      <w:footerReference w:type="default" r:id="rId11"/>
      <w:headerReference w:type="first" r:id="rId12"/>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5867" w:rsidRDefault="009D5867">
      <w:r>
        <w:separator/>
      </w:r>
    </w:p>
  </w:endnote>
  <w:endnote w:type="continuationSeparator" w:id="0">
    <w:p w:rsidR="009D5867" w:rsidRDefault="009D58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Myriad Pro">
    <w:altName w:val="Corbel"/>
    <w:panose1 w:val="00000000000000000000"/>
    <w:charset w:val="00"/>
    <w:family w:val="swiss"/>
    <w:notTrueType/>
    <w:pitch w:val="variable"/>
    <w:sig w:usb0="00000001" w:usb1="5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r w:rsidRPr="00F60130">
                            <w:rPr>
                              <w:rFonts w:ascii="Myriad Pro" w:hAnsi="Myriad Pro"/>
                              <w:sz w:val="16"/>
                              <w:szCs w:val="16"/>
                            </w:rPr>
                            <w:t>Cll 19 Nº 11 - 64</w:t>
                          </w:r>
                          <w:r w:rsidRPr="00F60130">
                            <w:rPr>
                              <w:rFonts w:ascii="Myriad Pro" w:hAnsi="Myriad Pro"/>
                              <w:b/>
                              <w:sz w:val="16"/>
                              <w:szCs w:val="16"/>
                            </w:rPr>
                            <w:t xml:space="preserve">  Sede Campus: </w:t>
                          </w:r>
                          <w:r w:rsidRPr="00F60130">
                            <w:rPr>
                              <w:rFonts w:ascii="Myriad Pro" w:hAnsi="Myriad Pro"/>
                              <w:sz w:val="16"/>
                              <w:szCs w:val="16"/>
                            </w:rPr>
                            <w:t>Av. Universitaria Cll. 48 No. 1-235 este</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Santoto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D5867" w:rsidP="00F60130">
                          <w:pPr>
                            <w:jc w:val="center"/>
                            <w:rPr>
                              <w:rFonts w:ascii="Myriad Pro" w:hAnsi="Myriad Pro"/>
                              <w:b/>
                              <w:sz w:val="16"/>
                              <w:szCs w:val="16"/>
                            </w:rPr>
                          </w:pPr>
                        </w:p>
                        <w:p w:rsidR="00133C1C" w:rsidRDefault="009D5867"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" filled="f" stroked="f">
              <v:textbox style="mso-fit-shape-to-text:t">
                <w:txbxContent>
                  <w:p w:rsidR="00133C1C" w:rsidRPr="00F60130" w:rsidRDefault="009D3B04" w:rsidP="00F60130">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p>
                  <w:p w:rsidR="00133C1C" w:rsidRPr="00F60130" w:rsidRDefault="009D3B04" w:rsidP="00F60130">
                    <w:pPr>
                      <w:jc w:val="center"/>
                      <w:rPr>
                        <w:rFonts w:ascii="Myriad Pro" w:hAnsi="Myriad Pro"/>
                        <w:b/>
                        <w:sz w:val="16"/>
                        <w:szCs w:val="16"/>
                      </w:rPr>
                    </w:pP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 xml:space="preserve">Local 1-106. Centro Comercial </w:t>
                    </w:r>
                    <w:r w:rsidRPr="00F60130">
                      <w:rPr>
                        <w:rFonts w:ascii="Myriad Pro" w:hAnsi="Myriad Pro"/>
                        <w:sz w:val="16"/>
                        <w:szCs w:val="16"/>
                      </w:rPr>
                      <w:t>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9D3B04" w:rsidP="00F60130">
                    <w:pPr>
                      <w:jc w:val="center"/>
                      <w:rPr>
                        <w:rFonts w:ascii="Myriad Pro" w:hAnsi="Myriad Pro"/>
                        <w:b/>
                        <w:sz w:val="16"/>
                        <w:szCs w:val="16"/>
                      </w:rPr>
                    </w:pPr>
                  </w:p>
                  <w:p w:rsidR="00133C1C" w:rsidRDefault="009D3B04" w:rsidP="00F60130">
                    <w:pPr>
                      <w:jc w:val="center"/>
                      <w:rPr>
                        <w:rFonts w:ascii="Myriad Pro" w:hAnsi="Myriad Pro"/>
                        <w:b/>
                        <w:sz w:val="16"/>
                        <w:szCs w:val="16"/>
                      </w:rPr>
                    </w:pPr>
                    <w:hyperlink r:id="rId2" w:history="1">
                      <w:r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5867" w:rsidRDefault="009D5867">
      <w:r>
        <w:separator/>
      </w:r>
    </w:p>
  </w:footnote>
  <w:footnote w:type="continuationSeparator" w:id="0">
    <w:p w:rsidR="009D5867" w:rsidRDefault="009D58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586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Encabezado"/>
    </w:pPr>
    <w:r>
      <w:rPr>
        <w:noProof/>
        <w:lang w:eastAsia="es-CO"/>
      </w:rPr>
      <w:drawing>
        <wp:anchor distT="0" distB="0" distL="114300" distR="114300" simplePos="0" relativeHeight="251661312" behindDoc="1" locked="0" layoutInCell="1" allowOverlap="1" wp14:anchorId="38055A05" wp14:editId="405B3C98">
          <wp:simplePos x="0" y="0"/>
          <wp:positionH relativeFrom="column">
            <wp:posOffset>-1086486</wp:posOffset>
          </wp:positionH>
          <wp:positionV relativeFrom="paragraph">
            <wp:posOffset>-467826</wp:posOffset>
          </wp:positionV>
          <wp:extent cx="7784537" cy="10073744"/>
          <wp:effectExtent l="0" t="0" r="0" b="1016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mbretes_v4-01.jpg"/>
                  <pic:cNvPicPr/>
                </pic:nvPicPr>
                <pic:blipFill>
                  <a:blip r:embed="rId1">
                    <a:extLst>
                      <a:ext uri="{28A0092B-C50C-407E-A947-70E740481C1C}">
                        <a14:useLocalDpi xmlns:a14="http://schemas.microsoft.com/office/drawing/2010/main" val="0"/>
                      </a:ext>
                    </a:extLst>
                  </a:blip>
                  <a:stretch>
                    <a:fillRect/>
                  </a:stretch>
                </pic:blipFill>
                <pic:spPr>
                  <a:xfrm>
                    <a:off x="0" y="0"/>
                    <a:ext cx="7784817" cy="10074107"/>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586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5">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5"/>
  </w:num>
  <w:num w:numId="2">
    <w:abstractNumId w:val="31"/>
  </w:num>
  <w:num w:numId="3">
    <w:abstractNumId w:val="28"/>
  </w:num>
  <w:num w:numId="4">
    <w:abstractNumId w:val="39"/>
  </w:num>
  <w:num w:numId="5">
    <w:abstractNumId w:val="32"/>
  </w:num>
  <w:num w:numId="6">
    <w:abstractNumId w:val="21"/>
  </w:num>
  <w:num w:numId="7">
    <w:abstractNumId w:val="36"/>
  </w:num>
  <w:num w:numId="8">
    <w:abstractNumId w:val="26"/>
  </w:num>
  <w:num w:numId="9">
    <w:abstractNumId w:val="4"/>
  </w:num>
  <w:num w:numId="10">
    <w:abstractNumId w:val="25"/>
  </w:num>
  <w:num w:numId="11">
    <w:abstractNumId w:val="11"/>
  </w:num>
  <w:num w:numId="12">
    <w:abstractNumId w:val="7"/>
  </w:num>
  <w:num w:numId="13">
    <w:abstractNumId w:val="37"/>
  </w:num>
  <w:num w:numId="14">
    <w:abstractNumId w:val="27"/>
  </w:num>
  <w:num w:numId="15">
    <w:abstractNumId w:val="5"/>
  </w:num>
  <w:num w:numId="16">
    <w:abstractNumId w:val="23"/>
  </w:num>
  <w:num w:numId="17">
    <w:abstractNumId w:val="20"/>
  </w:num>
  <w:num w:numId="18">
    <w:abstractNumId w:val="38"/>
  </w:num>
  <w:num w:numId="19">
    <w:abstractNumId w:val="34"/>
  </w:num>
  <w:num w:numId="20">
    <w:abstractNumId w:val="19"/>
  </w:num>
  <w:num w:numId="21">
    <w:abstractNumId w:val="33"/>
  </w:num>
  <w:num w:numId="22">
    <w:abstractNumId w:val="6"/>
  </w:num>
  <w:num w:numId="23">
    <w:abstractNumId w:val="18"/>
  </w:num>
  <w:num w:numId="24">
    <w:abstractNumId w:val="22"/>
  </w:num>
  <w:num w:numId="25">
    <w:abstractNumId w:val="17"/>
  </w:num>
  <w:num w:numId="26">
    <w:abstractNumId w:val="24"/>
  </w:num>
  <w:num w:numId="27">
    <w:abstractNumId w:val="1"/>
  </w:num>
  <w:num w:numId="28">
    <w:abstractNumId w:val="2"/>
  </w:num>
  <w:num w:numId="29">
    <w:abstractNumId w:val="9"/>
  </w:num>
  <w:num w:numId="30">
    <w:abstractNumId w:val="3"/>
  </w:num>
  <w:num w:numId="31">
    <w:abstractNumId w:val="30"/>
  </w:num>
  <w:num w:numId="32">
    <w:abstractNumId w:val="29"/>
  </w:num>
  <w:num w:numId="33">
    <w:abstractNumId w:val="12"/>
  </w:num>
  <w:num w:numId="34">
    <w:abstractNumId w:val="13"/>
  </w:num>
  <w:num w:numId="35">
    <w:abstractNumId w:val="0"/>
  </w:num>
  <w:num w:numId="36">
    <w:abstractNumId w:val="35"/>
  </w:num>
  <w:num w:numId="37">
    <w:abstractNumId w:val="14"/>
  </w:num>
  <w:num w:numId="38">
    <w:abstractNumId w:val="8"/>
  </w:num>
  <w:num w:numId="39">
    <w:abstractNumId w:val="10"/>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102DBF"/>
    <w:rsid w:val="001045BF"/>
    <w:rsid w:val="001E64E8"/>
    <w:rsid w:val="00373F2F"/>
    <w:rsid w:val="003821AB"/>
    <w:rsid w:val="003A6B8F"/>
    <w:rsid w:val="00477051"/>
    <w:rsid w:val="005307D9"/>
    <w:rsid w:val="00554817"/>
    <w:rsid w:val="00596F8F"/>
    <w:rsid w:val="005E6497"/>
    <w:rsid w:val="00716F79"/>
    <w:rsid w:val="007B7482"/>
    <w:rsid w:val="008079F4"/>
    <w:rsid w:val="00817C2C"/>
    <w:rsid w:val="008E7D4C"/>
    <w:rsid w:val="009D3B04"/>
    <w:rsid w:val="009D5867"/>
    <w:rsid w:val="00A77076"/>
    <w:rsid w:val="00AC7C60"/>
    <w:rsid w:val="00AD3DAF"/>
    <w:rsid w:val="00AE0BF3"/>
    <w:rsid w:val="00B3659A"/>
    <w:rsid w:val="00C639A2"/>
    <w:rsid w:val="00CC116E"/>
    <w:rsid w:val="00D51F15"/>
    <w:rsid w:val="00D94B90"/>
    <w:rsid w:val="00E152EC"/>
    <w:rsid w:val="00E978F2"/>
    <w:rsid w:val="00F26635"/>
    <w:rsid w:val="00F83EE2"/>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1E3C8-1BFB-4A7A-A04B-BE6E72A13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906</Words>
  <Characters>4986</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mariacastro</cp:lastModifiedBy>
  <cp:revision>2</cp:revision>
  <dcterms:created xsi:type="dcterms:W3CDTF">2015-11-10T13:52:00Z</dcterms:created>
  <dcterms:modified xsi:type="dcterms:W3CDTF">2015-11-10T13:52:00Z</dcterms:modified>
</cp:coreProperties>
</file>